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10F1" w14:textId="359DBBCE" w:rsidR="00515A0F" w:rsidRDefault="00C46EB3" w:rsidP="00515A0F">
      <w:pPr>
        <w:jc w:val="both"/>
        <w:rPr>
          <w:rFonts w:ascii="Calibri" w:hAnsi="Calibri"/>
          <w:sz w:val="21"/>
          <w:szCs w:val="21"/>
        </w:rPr>
      </w:pPr>
      <w:r>
        <w:rPr>
          <w:rFonts w:ascii="Calibri" w:hAnsi="Calibri"/>
          <w:sz w:val="21"/>
          <w:szCs w:val="21"/>
        </w:rPr>
        <w:t>2</w:t>
      </w:r>
      <w:r w:rsidR="00294D6E">
        <w:rPr>
          <w:rFonts w:ascii="Calibri" w:hAnsi="Calibri"/>
          <w:sz w:val="21"/>
          <w:szCs w:val="21"/>
        </w:rPr>
        <w:t>6</w:t>
      </w:r>
      <w:r w:rsidR="00515A0F">
        <w:rPr>
          <w:rFonts w:ascii="Calibri" w:hAnsi="Calibri"/>
          <w:sz w:val="21"/>
          <w:szCs w:val="21"/>
        </w:rPr>
        <w:t xml:space="preserve"> September 202</w:t>
      </w:r>
      <w:r w:rsidR="00294D6E">
        <w:rPr>
          <w:rFonts w:ascii="Calibri" w:hAnsi="Calibri"/>
          <w:sz w:val="21"/>
          <w:szCs w:val="21"/>
        </w:rPr>
        <w:t>3</w:t>
      </w:r>
    </w:p>
    <w:p w14:paraId="76FAF7A7" w14:textId="77777777" w:rsidR="002B6966" w:rsidRPr="00CF0BD5" w:rsidRDefault="002B6966" w:rsidP="00515A0F">
      <w:pPr>
        <w:jc w:val="both"/>
        <w:rPr>
          <w:rFonts w:ascii="Calibri" w:hAnsi="Calibri"/>
          <w:sz w:val="21"/>
          <w:szCs w:val="21"/>
        </w:rPr>
      </w:pPr>
    </w:p>
    <w:p w14:paraId="640F5AB4" w14:textId="4D9F805D" w:rsidR="00396AEF" w:rsidRPr="00396AEF" w:rsidRDefault="00396AEF" w:rsidP="00396AEF">
      <w:pPr>
        <w:jc w:val="center"/>
        <w:rPr>
          <w:rStyle w:val="ag"/>
          <w:noProof/>
          <w:sz w:val="20"/>
          <w:szCs w:val="20"/>
          <w:lang w:eastAsia="en-GB"/>
        </w:rPr>
      </w:pPr>
      <w:r>
        <w:rPr>
          <w:noProof/>
          <w:lang w:eastAsia="en-GB"/>
        </w:rPr>
        <w:drawing>
          <wp:inline distT="0" distB="0" distL="0" distR="0" wp14:anchorId="14E8AA60" wp14:editId="3CDCF1D4">
            <wp:extent cx="1152525" cy="520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2186" cy="533890"/>
                    </a:xfrm>
                    <a:prstGeom prst="rect">
                      <a:avLst/>
                    </a:prstGeom>
                    <a:noFill/>
                    <a:ln>
                      <a:noFill/>
                    </a:ln>
                  </pic:spPr>
                </pic:pic>
              </a:graphicData>
            </a:graphic>
          </wp:inline>
        </w:drawing>
      </w:r>
    </w:p>
    <w:p w14:paraId="3C178CA6" w14:textId="77777777" w:rsidR="00396AEF" w:rsidRPr="008663CB" w:rsidRDefault="00396AEF" w:rsidP="00396AEF">
      <w:pPr>
        <w:spacing w:after="0" w:line="240" w:lineRule="auto"/>
        <w:jc w:val="center"/>
        <w:rPr>
          <w:rStyle w:val="ag"/>
          <w:rFonts w:cs="Calibri"/>
          <w:b/>
          <w:color w:val="000000"/>
          <w:sz w:val="21"/>
          <w:szCs w:val="21"/>
          <w:lang w:eastAsia="en-GB"/>
        </w:rPr>
      </w:pPr>
      <w:r w:rsidRPr="008663CB">
        <w:rPr>
          <w:rStyle w:val="ag"/>
          <w:rFonts w:cs="Calibri"/>
          <w:b/>
          <w:color w:val="000000"/>
          <w:sz w:val="21"/>
          <w:szCs w:val="21"/>
          <w:lang w:eastAsia="en-GB"/>
        </w:rPr>
        <w:t xml:space="preserve">Time Finance plc </w:t>
      </w:r>
    </w:p>
    <w:p w14:paraId="722CF15A" w14:textId="510EE319" w:rsidR="00515A0F" w:rsidRPr="008663CB" w:rsidRDefault="00396AEF" w:rsidP="008663CB">
      <w:pPr>
        <w:spacing w:after="0" w:line="240" w:lineRule="auto"/>
        <w:jc w:val="center"/>
        <w:rPr>
          <w:rStyle w:val="ag"/>
          <w:rFonts w:cs="Calibri"/>
          <w:bCs/>
          <w:color w:val="000000"/>
          <w:sz w:val="21"/>
          <w:szCs w:val="21"/>
          <w:lang w:eastAsia="en-GB"/>
        </w:rPr>
      </w:pPr>
      <w:r w:rsidRPr="008663CB">
        <w:rPr>
          <w:rStyle w:val="ag"/>
          <w:rFonts w:cs="Calibri"/>
          <w:bCs/>
          <w:color w:val="000000"/>
          <w:sz w:val="21"/>
          <w:szCs w:val="21"/>
          <w:lang w:eastAsia="en-GB"/>
        </w:rPr>
        <w:t>(“Time Finance”, the “Group” or the “Company”)</w:t>
      </w:r>
    </w:p>
    <w:p w14:paraId="432B0A9A" w14:textId="5D4B3FC2" w:rsidR="008663CB" w:rsidRDefault="008663CB" w:rsidP="008663CB">
      <w:pPr>
        <w:spacing w:after="0" w:line="240" w:lineRule="auto"/>
        <w:jc w:val="center"/>
        <w:rPr>
          <w:rFonts w:cs="Calibri"/>
          <w:bCs/>
          <w:color w:val="000000"/>
          <w:sz w:val="21"/>
          <w:szCs w:val="21"/>
          <w:lang w:eastAsia="en-GB"/>
        </w:rPr>
      </w:pPr>
    </w:p>
    <w:p w14:paraId="239DE7DA" w14:textId="77777777" w:rsidR="00435E7C" w:rsidRDefault="00435E7C" w:rsidP="00435E7C">
      <w:pPr>
        <w:spacing w:after="0" w:line="240" w:lineRule="auto"/>
        <w:jc w:val="center"/>
        <w:rPr>
          <w:rFonts w:ascii="Calibri" w:hAnsi="Calibri"/>
          <w:b/>
          <w:sz w:val="21"/>
          <w:szCs w:val="21"/>
        </w:rPr>
      </w:pPr>
      <w:r>
        <w:rPr>
          <w:rFonts w:ascii="Calibri" w:hAnsi="Calibri"/>
          <w:b/>
          <w:sz w:val="21"/>
          <w:szCs w:val="21"/>
        </w:rPr>
        <w:t xml:space="preserve">Final Results for the year ended 31 May 2023 </w:t>
      </w:r>
    </w:p>
    <w:p w14:paraId="7BD4647E" w14:textId="77777777" w:rsidR="00435E7C" w:rsidRPr="008663CB" w:rsidRDefault="00435E7C" w:rsidP="00435E7C">
      <w:pPr>
        <w:spacing w:after="0" w:line="240" w:lineRule="auto"/>
        <w:jc w:val="center"/>
        <w:rPr>
          <w:rFonts w:ascii="Calibri" w:hAnsi="Calibri"/>
          <w:b/>
          <w:sz w:val="21"/>
          <w:szCs w:val="21"/>
        </w:rPr>
      </w:pPr>
    </w:p>
    <w:p w14:paraId="1E202EDC" w14:textId="77777777" w:rsidR="00435E7C" w:rsidRDefault="00435E7C" w:rsidP="00435E7C">
      <w:pPr>
        <w:pStyle w:val="ar"/>
        <w:spacing w:before="0" w:beforeAutospacing="0" w:after="0" w:afterAutospacing="0"/>
        <w:jc w:val="center"/>
        <w:rPr>
          <w:rStyle w:val="ag"/>
          <w:rFonts w:ascii="Calibri" w:hAnsi="Calibri" w:cs="Calibri"/>
          <w:b/>
          <w:i/>
          <w:iCs/>
          <w:color w:val="000000"/>
          <w:sz w:val="21"/>
          <w:szCs w:val="21"/>
        </w:rPr>
      </w:pPr>
      <w:r>
        <w:rPr>
          <w:rStyle w:val="ag"/>
          <w:rFonts w:ascii="Calibri" w:hAnsi="Calibri" w:cs="Calibri"/>
          <w:b/>
          <w:i/>
          <w:iCs/>
          <w:color w:val="000000"/>
          <w:sz w:val="21"/>
          <w:szCs w:val="21"/>
        </w:rPr>
        <w:t>Strong growth in Revenue, PBT and EPS</w:t>
      </w:r>
    </w:p>
    <w:p w14:paraId="53B275C7" w14:textId="77777777" w:rsidR="00435E7C" w:rsidRDefault="00435E7C" w:rsidP="00435E7C">
      <w:pPr>
        <w:pStyle w:val="ar"/>
        <w:spacing w:before="0" w:beforeAutospacing="0" w:after="0" w:afterAutospacing="0"/>
        <w:jc w:val="center"/>
        <w:rPr>
          <w:rStyle w:val="ag"/>
          <w:rFonts w:ascii="Calibri" w:hAnsi="Calibri" w:cs="Calibri"/>
          <w:b/>
          <w:i/>
          <w:iCs/>
          <w:color w:val="000000"/>
          <w:sz w:val="21"/>
          <w:szCs w:val="21"/>
        </w:rPr>
      </w:pPr>
      <w:r>
        <w:rPr>
          <w:rStyle w:val="ag"/>
          <w:rFonts w:ascii="Calibri" w:hAnsi="Calibri" w:cs="Calibri"/>
          <w:b/>
          <w:i/>
          <w:iCs/>
          <w:color w:val="000000"/>
          <w:sz w:val="21"/>
          <w:szCs w:val="21"/>
        </w:rPr>
        <w:t>Own-Book origination and lending portfolio significantly increase</w:t>
      </w:r>
    </w:p>
    <w:p w14:paraId="005D348E" w14:textId="77777777" w:rsidR="00435E7C" w:rsidRPr="008663CB" w:rsidRDefault="00435E7C" w:rsidP="00435E7C">
      <w:pPr>
        <w:pStyle w:val="ar"/>
        <w:spacing w:before="0" w:beforeAutospacing="0" w:after="0" w:afterAutospacing="0"/>
        <w:jc w:val="both"/>
        <w:rPr>
          <w:rFonts w:asciiTheme="minorHAnsi" w:hAnsiTheme="minorHAnsi" w:cs="Calibri"/>
          <w:b/>
          <w:i/>
          <w:color w:val="000000"/>
          <w:sz w:val="21"/>
          <w:szCs w:val="21"/>
          <w:u w:val="single"/>
        </w:rPr>
      </w:pPr>
    </w:p>
    <w:p w14:paraId="12B5D639" w14:textId="77777777" w:rsidR="00435E7C" w:rsidRDefault="00435E7C" w:rsidP="00435E7C">
      <w:pPr>
        <w:pStyle w:val="ar"/>
        <w:spacing w:before="0" w:beforeAutospacing="0" w:after="0" w:afterAutospacing="0"/>
        <w:jc w:val="both"/>
        <w:rPr>
          <w:rStyle w:val="ag"/>
          <w:rFonts w:ascii="Calibri" w:hAnsi="Calibri" w:cs="Calibri"/>
          <w:color w:val="000000"/>
          <w:sz w:val="21"/>
          <w:szCs w:val="21"/>
        </w:rPr>
      </w:pPr>
      <w:r>
        <w:rPr>
          <w:rStyle w:val="ag"/>
          <w:rFonts w:ascii="Calibri" w:hAnsi="Calibri" w:cs="Calibri"/>
          <w:color w:val="000000"/>
          <w:sz w:val="21"/>
          <w:szCs w:val="21"/>
        </w:rPr>
        <w:t>Time Finance</w:t>
      </w:r>
      <w:r w:rsidRPr="00CF0BD5">
        <w:rPr>
          <w:rStyle w:val="ag"/>
          <w:rFonts w:ascii="Calibri" w:hAnsi="Calibri" w:cs="Calibri"/>
          <w:color w:val="000000"/>
          <w:sz w:val="21"/>
          <w:szCs w:val="21"/>
        </w:rPr>
        <w:t xml:space="preserve"> plc (AIM: </w:t>
      </w:r>
      <w:r>
        <w:rPr>
          <w:rStyle w:val="ag"/>
          <w:rFonts w:ascii="Calibri" w:hAnsi="Calibri" w:cs="Calibri"/>
          <w:color w:val="000000"/>
          <w:sz w:val="21"/>
          <w:szCs w:val="21"/>
        </w:rPr>
        <w:t xml:space="preserve">TIME), the AIM listed independent </w:t>
      </w:r>
      <w:r w:rsidRPr="00CF0BD5">
        <w:rPr>
          <w:rStyle w:val="ag"/>
          <w:rFonts w:ascii="Calibri" w:hAnsi="Calibri" w:cs="Calibri"/>
          <w:color w:val="000000"/>
          <w:sz w:val="21"/>
          <w:szCs w:val="21"/>
        </w:rPr>
        <w:t xml:space="preserve">specialist </w:t>
      </w:r>
      <w:r>
        <w:rPr>
          <w:rStyle w:val="ag"/>
          <w:rFonts w:ascii="Calibri" w:hAnsi="Calibri" w:cs="Calibri"/>
          <w:color w:val="000000"/>
          <w:sz w:val="21"/>
          <w:szCs w:val="21"/>
        </w:rPr>
        <w:t xml:space="preserve">finance </w:t>
      </w:r>
      <w:r w:rsidRPr="00CF0BD5">
        <w:rPr>
          <w:rStyle w:val="ag"/>
          <w:rFonts w:ascii="Calibri" w:hAnsi="Calibri" w:cs="Calibri"/>
          <w:color w:val="000000"/>
          <w:sz w:val="21"/>
          <w:szCs w:val="21"/>
        </w:rPr>
        <w:t>provider,</w:t>
      </w:r>
      <w:r>
        <w:rPr>
          <w:rStyle w:val="ag"/>
          <w:rFonts w:ascii="Calibri" w:hAnsi="Calibri" w:cs="Calibri"/>
          <w:color w:val="000000"/>
          <w:sz w:val="21"/>
          <w:szCs w:val="21"/>
        </w:rPr>
        <w:t xml:space="preserve"> is pleased to announce its final results for the year ended 31 May 2023. </w:t>
      </w:r>
    </w:p>
    <w:p w14:paraId="64E809BF" w14:textId="77777777" w:rsidR="00435E7C" w:rsidRDefault="00435E7C" w:rsidP="00435E7C">
      <w:pPr>
        <w:pStyle w:val="ar"/>
        <w:spacing w:before="0" w:beforeAutospacing="0" w:after="0" w:afterAutospacing="0"/>
        <w:jc w:val="both"/>
        <w:rPr>
          <w:rStyle w:val="ag"/>
          <w:rFonts w:ascii="Calibri" w:hAnsi="Calibri" w:cs="Calibri"/>
          <w:color w:val="000000"/>
          <w:sz w:val="21"/>
          <w:szCs w:val="21"/>
        </w:rPr>
      </w:pPr>
    </w:p>
    <w:p w14:paraId="34CABFB5" w14:textId="77777777" w:rsidR="00435E7C" w:rsidRPr="00D80298" w:rsidRDefault="00435E7C" w:rsidP="00435E7C">
      <w:pPr>
        <w:spacing w:after="0" w:line="240" w:lineRule="auto"/>
        <w:jc w:val="both"/>
        <w:rPr>
          <w:rStyle w:val="ag"/>
          <w:rFonts w:ascii="Calibri" w:hAnsi="Calibri"/>
          <w:b/>
          <w:sz w:val="21"/>
          <w:szCs w:val="21"/>
        </w:rPr>
      </w:pPr>
      <w:r w:rsidRPr="009B5677">
        <w:rPr>
          <w:rFonts w:ascii="Calibri" w:hAnsi="Calibri"/>
          <w:b/>
          <w:sz w:val="21"/>
          <w:szCs w:val="21"/>
        </w:rPr>
        <w:t xml:space="preserve">Commenting on the </w:t>
      </w:r>
      <w:r>
        <w:rPr>
          <w:rFonts w:ascii="Calibri" w:hAnsi="Calibri"/>
          <w:b/>
          <w:sz w:val="21"/>
          <w:szCs w:val="21"/>
        </w:rPr>
        <w:t>results</w:t>
      </w:r>
      <w:r w:rsidRPr="008663CB">
        <w:rPr>
          <w:rFonts w:ascii="Calibri" w:hAnsi="Calibri"/>
          <w:b/>
          <w:sz w:val="21"/>
          <w:szCs w:val="21"/>
        </w:rPr>
        <w:t xml:space="preserve">, </w:t>
      </w:r>
      <w:r>
        <w:rPr>
          <w:rFonts w:ascii="Calibri" w:hAnsi="Calibri"/>
          <w:b/>
          <w:sz w:val="21"/>
          <w:szCs w:val="21"/>
        </w:rPr>
        <w:t>Tanya Raynes</w:t>
      </w:r>
      <w:r w:rsidRPr="008663CB">
        <w:rPr>
          <w:rFonts w:ascii="Calibri" w:hAnsi="Calibri"/>
          <w:b/>
          <w:sz w:val="21"/>
          <w:szCs w:val="21"/>
        </w:rPr>
        <w:t>, Non-executive Chair</w:t>
      </w:r>
      <w:r>
        <w:rPr>
          <w:rFonts w:ascii="Calibri" w:hAnsi="Calibri"/>
          <w:b/>
          <w:sz w:val="21"/>
          <w:szCs w:val="21"/>
        </w:rPr>
        <w:t>,</w:t>
      </w:r>
      <w:r w:rsidRPr="008663CB">
        <w:rPr>
          <w:rFonts w:ascii="Calibri" w:hAnsi="Calibri"/>
          <w:b/>
          <w:sz w:val="21"/>
          <w:szCs w:val="21"/>
        </w:rPr>
        <w:t xml:space="preserve"> said:</w:t>
      </w:r>
    </w:p>
    <w:p w14:paraId="61294E34" w14:textId="59B0CF52" w:rsidR="00435E7C" w:rsidRPr="00D80298" w:rsidRDefault="00435E7C" w:rsidP="00435E7C">
      <w:pPr>
        <w:tabs>
          <w:tab w:val="left" w:pos="0"/>
          <w:tab w:val="left" w:pos="793"/>
        </w:tabs>
        <w:spacing w:after="0" w:line="240" w:lineRule="auto"/>
        <w:ind w:right="-23"/>
        <w:jc w:val="both"/>
        <w:rPr>
          <w:rStyle w:val="ag"/>
          <w:rFonts w:ascii="Calibri" w:eastAsia="Times New Roman" w:hAnsi="Calibri" w:cs="Calibri"/>
          <w:i/>
          <w:sz w:val="21"/>
          <w:szCs w:val="21"/>
          <w:lang w:eastAsia="en-GB"/>
        </w:rPr>
      </w:pPr>
      <w:r w:rsidRPr="00D80298">
        <w:rPr>
          <w:rStyle w:val="ag"/>
          <w:rFonts w:ascii="Calibri" w:eastAsia="Times New Roman" w:hAnsi="Calibri" w:cs="Calibri"/>
          <w:i/>
          <w:sz w:val="21"/>
          <w:szCs w:val="21"/>
          <w:lang w:eastAsia="en-GB"/>
        </w:rPr>
        <w:t xml:space="preserve">“The </w:t>
      </w:r>
      <w:r>
        <w:rPr>
          <w:rStyle w:val="ag"/>
          <w:rFonts w:ascii="Calibri" w:eastAsia="Times New Roman" w:hAnsi="Calibri" w:cs="Calibri"/>
          <w:i/>
          <w:sz w:val="21"/>
          <w:szCs w:val="21"/>
          <w:lang w:eastAsia="en-GB"/>
        </w:rPr>
        <w:t xml:space="preserve">Group’s </w:t>
      </w:r>
      <w:r w:rsidRPr="00D80298">
        <w:rPr>
          <w:rStyle w:val="ag"/>
          <w:rFonts w:ascii="Calibri" w:eastAsia="Times New Roman" w:hAnsi="Calibri" w:cs="Calibri"/>
          <w:i/>
          <w:sz w:val="21"/>
          <w:szCs w:val="21"/>
          <w:lang w:eastAsia="en-GB"/>
        </w:rPr>
        <w:t xml:space="preserve">strong financial performance </w:t>
      </w:r>
      <w:r>
        <w:rPr>
          <w:rStyle w:val="ag"/>
          <w:rFonts w:ascii="Calibri" w:eastAsia="Times New Roman" w:hAnsi="Calibri" w:cs="Calibri"/>
          <w:i/>
          <w:sz w:val="21"/>
          <w:szCs w:val="21"/>
          <w:lang w:eastAsia="en-GB"/>
        </w:rPr>
        <w:t>over</w:t>
      </w:r>
      <w:r w:rsidRPr="00D80298">
        <w:rPr>
          <w:rStyle w:val="ag"/>
          <w:rFonts w:ascii="Calibri" w:eastAsia="Times New Roman" w:hAnsi="Calibri" w:cs="Calibri"/>
          <w:i/>
          <w:sz w:val="21"/>
          <w:szCs w:val="21"/>
          <w:lang w:eastAsia="en-GB"/>
        </w:rPr>
        <w:t xml:space="preserve"> the</w:t>
      </w:r>
      <w:r>
        <w:rPr>
          <w:rStyle w:val="ag"/>
          <w:rFonts w:ascii="Calibri" w:eastAsia="Times New Roman" w:hAnsi="Calibri" w:cs="Calibri"/>
          <w:i/>
          <w:sz w:val="21"/>
          <w:szCs w:val="21"/>
          <w:lang w:eastAsia="en-GB"/>
        </w:rPr>
        <w:t xml:space="preserve"> past</w:t>
      </w:r>
      <w:r w:rsidRPr="00D80298">
        <w:rPr>
          <w:rStyle w:val="ag"/>
          <w:rFonts w:ascii="Calibri" w:eastAsia="Times New Roman" w:hAnsi="Calibri" w:cs="Calibri"/>
          <w:i/>
          <w:sz w:val="21"/>
          <w:szCs w:val="21"/>
          <w:lang w:eastAsia="en-GB"/>
        </w:rPr>
        <w:t xml:space="preserve"> year </w:t>
      </w:r>
      <w:r>
        <w:rPr>
          <w:rStyle w:val="ag"/>
          <w:rFonts w:ascii="Calibri" w:eastAsia="Times New Roman" w:hAnsi="Calibri" w:cs="Calibri"/>
          <w:i/>
          <w:sz w:val="21"/>
          <w:szCs w:val="21"/>
          <w:lang w:eastAsia="en-GB"/>
        </w:rPr>
        <w:t xml:space="preserve">further strengthens </w:t>
      </w:r>
      <w:r w:rsidRPr="00D80298">
        <w:rPr>
          <w:rStyle w:val="ag"/>
          <w:rFonts w:ascii="Calibri" w:eastAsia="Times New Roman" w:hAnsi="Calibri" w:cs="Calibri"/>
          <w:i/>
          <w:sz w:val="21"/>
          <w:szCs w:val="21"/>
          <w:lang w:eastAsia="en-GB"/>
        </w:rPr>
        <w:t xml:space="preserve">our confidence in </w:t>
      </w:r>
      <w:r>
        <w:rPr>
          <w:rStyle w:val="ag"/>
          <w:rFonts w:ascii="Calibri" w:eastAsia="Times New Roman" w:hAnsi="Calibri" w:cs="Calibri"/>
          <w:i/>
          <w:sz w:val="21"/>
          <w:szCs w:val="21"/>
          <w:lang w:eastAsia="en-GB"/>
        </w:rPr>
        <w:t>the</w:t>
      </w:r>
      <w:r w:rsidRPr="00D80298">
        <w:rPr>
          <w:rStyle w:val="ag"/>
          <w:rFonts w:ascii="Calibri" w:eastAsia="Times New Roman" w:hAnsi="Calibri" w:cs="Calibri"/>
          <w:i/>
          <w:sz w:val="21"/>
          <w:szCs w:val="21"/>
          <w:lang w:eastAsia="en-GB"/>
        </w:rPr>
        <w:t xml:space="preserve"> strategic plan and the capability of our team to deliver it. Revenue and profits increased </w:t>
      </w:r>
      <w:r>
        <w:rPr>
          <w:rStyle w:val="ag"/>
          <w:rFonts w:ascii="Calibri" w:eastAsia="Times New Roman" w:hAnsi="Calibri" w:cs="Calibri"/>
          <w:i/>
          <w:sz w:val="21"/>
          <w:szCs w:val="21"/>
          <w:lang w:eastAsia="en-GB"/>
        </w:rPr>
        <w:t>strongly</w:t>
      </w:r>
      <w:r w:rsidRPr="00D80298">
        <w:rPr>
          <w:rStyle w:val="ag"/>
          <w:rFonts w:ascii="Calibri" w:eastAsia="Times New Roman" w:hAnsi="Calibri" w:cs="Calibri"/>
          <w:i/>
          <w:sz w:val="21"/>
          <w:szCs w:val="21"/>
          <w:lang w:eastAsia="en-GB"/>
        </w:rPr>
        <w:t xml:space="preserve"> </w:t>
      </w:r>
      <w:r>
        <w:rPr>
          <w:rStyle w:val="ag"/>
          <w:rFonts w:ascii="Calibri" w:eastAsia="Times New Roman" w:hAnsi="Calibri" w:cs="Calibri"/>
          <w:i/>
          <w:sz w:val="21"/>
          <w:szCs w:val="21"/>
          <w:lang w:eastAsia="en-GB"/>
        </w:rPr>
        <w:t>during the period with</w:t>
      </w:r>
      <w:r w:rsidRPr="00D80298">
        <w:rPr>
          <w:rStyle w:val="ag"/>
          <w:rFonts w:ascii="Calibri" w:eastAsia="Times New Roman" w:hAnsi="Calibri" w:cs="Calibri"/>
          <w:i/>
          <w:sz w:val="21"/>
          <w:szCs w:val="21"/>
          <w:lang w:eastAsia="en-GB"/>
        </w:rPr>
        <w:t xml:space="preserve"> the lending book and Net Tangible Assets both </w:t>
      </w:r>
      <w:r>
        <w:rPr>
          <w:rStyle w:val="ag"/>
          <w:rFonts w:ascii="Calibri" w:eastAsia="Times New Roman" w:hAnsi="Calibri" w:cs="Calibri"/>
          <w:i/>
          <w:sz w:val="21"/>
          <w:szCs w:val="21"/>
          <w:lang w:eastAsia="en-GB"/>
        </w:rPr>
        <w:t xml:space="preserve">standing </w:t>
      </w:r>
      <w:r w:rsidRPr="00D80298">
        <w:rPr>
          <w:rStyle w:val="ag"/>
          <w:rFonts w:ascii="Calibri" w:eastAsia="Times New Roman" w:hAnsi="Calibri" w:cs="Calibri"/>
          <w:i/>
          <w:sz w:val="21"/>
          <w:szCs w:val="21"/>
          <w:lang w:eastAsia="en-GB"/>
        </w:rPr>
        <w:t xml:space="preserve">at record highs; cash reserves remain solid and arrears </w:t>
      </w:r>
      <w:r>
        <w:rPr>
          <w:rStyle w:val="ag"/>
          <w:rFonts w:ascii="Calibri" w:eastAsia="Times New Roman" w:hAnsi="Calibri" w:cs="Calibri"/>
          <w:i/>
          <w:sz w:val="21"/>
          <w:szCs w:val="21"/>
          <w:lang w:eastAsia="en-GB"/>
        </w:rPr>
        <w:t xml:space="preserve">have </w:t>
      </w:r>
      <w:r w:rsidRPr="00D80298">
        <w:rPr>
          <w:rStyle w:val="ag"/>
          <w:rFonts w:ascii="Calibri" w:eastAsia="Times New Roman" w:hAnsi="Calibri" w:cs="Calibri"/>
          <w:i/>
          <w:sz w:val="21"/>
          <w:szCs w:val="21"/>
          <w:lang w:eastAsia="en-GB"/>
        </w:rPr>
        <w:t>remain</w:t>
      </w:r>
      <w:r>
        <w:rPr>
          <w:rStyle w:val="ag"/>
          <w:rFonts w:ascii="Calibri" w:eastAsia="Times New Roman" w:hAnsi="Calibri" w:cs="Calibri"/>
          <w:i/>
          <w:sz w:val="21"/>
          <w:szCs w:val="21"/>
          <w:lang w:eastAsia="en-GB"/>
        </w:rPr>
        <w:t>ed</w:t>
      </w:r>
      <w:r w:rsidRPr="00D80298">
        <w:rPr>
          <w:rStyle w:val="ag"/>
          <w:rFonts w:ascii="Calibri" w:eastAsia="Times New Roman" w:hAnsi="Calibri" w:cs="Calibri"/>
          <w:i/>
          <w:sz w:val="21"/>
          <w:szCs w:val="21"/>
          <w:lang w:eastAsia="en-GB"/>
        </w:rPr>
        <w:t xml:space="preserve"> static and </w:t>
      </w:r>
      <w:r>
        <w:rPr>
          <w:rStyle w:val="ag"/>
          <w:rFonts w:ascii="Calibri" w:eastAsia="Times New Roman" w:hAnsi="Calibri" w:cs="Calibri"/>
          <w:i/>
          <w:sz w:val="21"/>
          <w:szCs w:val="21"/>
          <w:lang w:eastAsia="en-GB"/>
        </w:rPr>
        <w:t>are</w:t>
      </w:r>
      <w:r w:rsidRPr="00D80298">
        <w:rPr>
          <w:rStyle w:val="ag"/>
          <w:rFonts w:ascii="Calibri" w:eastAsia="Times New Roman" w:hAnsi="Calibri" w:cs="Calibri"/>
          <w:i/>
          <w:sz w:val="21"/>
          <w:szCs w:val="21"/>
          <w:lang w:eastAsia="en-GB"/>
        </w:rPr>
        <w:t xml:space="preserve"> well below pre-pandemic levels</w:t>
      </w:r>
      <w:r>
        <w:rPr>
          <w:rStyle w:val="ag"/>
          <w:rFonts w:ascii="Calibri" w:eastAsia="Times New Roman" w:hAnsi="Calibri" w:cs="Calibri"/>
          <w:i/>
          <w:sz w:val="21"/>
          <w:szCs w:val="21"/>
          <w:lang w:eastAsia="en-GB"/>
        </w:rPr>
        <w:t xml:space="preserve">, notwithstanding </w:t>
      </w:r>
      <w:r w:rsidRPr="00D80298">
        <w:rPr>
          <w:rStyle w:val="ag"/>
          <w:rFonts w:ascii="Calibri" w:eastAsia="Times New Roman" w:hAnsi="Calibri" w:cs="Calibri"/>
          <w:i/>
          <w:sz w:val="21"/>
          <w:szCs w:val="21"/>
          <w:lang w:eastAsia="en-GB"/>
        </w:rPr>
        <w:t>the significant and ongoing growth in the lending book</w:t>
      </w:r>
      <w:r>
        <w:rPr>
          <w:rStyle w:val="ag"/>
          <w:rFonts w:ascii="Calibri" w:eastAsia="Times New Roman" w:hAnsi="Calibri" w:cs="Calibri"/>
          <w:i/>
          <w:sz w:val="21"/>
          <w:szCs w:val="21"/>
          <w:lang w:eastAsia="en-GB"/>
        </w:rPr>
        <w:t>. With the balance sheet further strengthened through this organic growth the delivery of our strategic plan remains well on track.</w:t>
      </w:r>
      <w:r w:rsidRPr="00D80298">
        <w:rPr>
          <w:rStyle w:val="ag"/>
          <w:rFonts w:ascii="Calibri" w:eastAsia="Times New Roman" w:hAnsi="Calibri" w:cs="Calibri"/>
          <w:i/>
          <w:sz w:val="21"/>
          <w:szCs w:val="21"/>
          <w:lang w:eastAsia="en-GB"/>
        </w:rPr>
        <w:t>”</w:t>
      </w:r>
    </w:p>
    <w:p w14:paraId="08AA1DBA" w14:textId="77777777" w:rsidR="00435E7C" w:rsidRPr="008663CB" w:rsidRDefault="00435E7C" w:rsidP="00435E7C">
      <w:pPr>
        <w:tabs>
          <w:tab w:val="left" w:pos="793"/>
        </w:tabs>
        <w:spacing w:after="0" w:line="240" w:lineRule="auto"/>
        <w:ind w:right="-46"/>
        <w:jc w:val="both"/>
        <w:rPr>
          <w:rFonts w:ascii="Calibri" w:hAnsi="Calibri"/>
          <w:i/>
          <w:sz w:val="21"/>
          <w:szCs w:val="21"/>
        </w:rPr>
      </w:pPr>
    </w:p>
    <w:p w14:paraId="01430D37" w14:textId="77777777" w:rsidR="00435E7C" w:rsidRPr="008470F2" w:rsidRDefault="00435E7C" w:rsidP="00435E7C">
      <w:pPr>
        <w:spacing w:after="0" w:line="240" w:lineRule="auto"/>
        <w:jc w:val="both"/>
        <w:rPr>
          <w:b/>
          <w:bCs/>
        </w:rPr>
      </w:pPr>
      <w:r>
        <w:rPr>
          <w:b/>
          <w:bCs/>
        </w:rPr>
        <w:t xml:space="preserve">Financial </w:t>
      </w:r>
      <w:r w:rsidRPr="008470F2">
        <w:rPr>
          <w:b/>
          <w:bCs/>
        </w:rPr>
        <w:t xml:space="preserve">Highlights: </w:t>
      </w:r>
    </w:p>
    <w:p w14:paraId="045EA3A4" w14:textId="77777777" w:rsidR="00435E7C" w:rsidRDefault="00435E7C" w:rsidP="00435E7C">
      <w:pPr>
        <w:spacing w:after="0" w:line="240" w:lineRule="auto"/>
        <w:jc w:val="both"/>
      </w:pPr>
      <w:r>
        <w:t>• Revenue of £27.6m (2022: £23.6m), an increase of 17%</w:t>
      </w:r>
    </w:p>
    <w:p w14:paraId="3DB887F2" w14:textId="77777777" w:rsidR="00435E7C" w:rsidRDefault="00435E7C" w:rsidP="00435E7C">
      <w:pPr>
        <w:spacing w:after="0" w:line="240" w:lineRule="auto"/>
        <w:jc w:val="both"/>
      </w:pPr>
      <w:r>
        <w:t xml:space="preserve">• </w:t>
      </w:r>
      <w:r>
        <w:rPr>
          <w:rStyle w:val="ag"/>
          <w:rFonts w:cstheme="minorHAnsi"/>
          <w:bCs/>
          <w:color w:val="000000"/>
        </w:rPr>
        <w:t>Profit Before Tax (“PBT”)</w:t>
      </w:r>
      <w:r>
        <w:t xml:space="preserve"> of £4.2m (2022: £1.1m), an increase of 281%</w:t>
      </w:r>
    </w:p>
    <w:p w14:paraId="6B442B2E" w14:textId="77777777" w:rsidR="00435E7C" w:rsidRDefault="00435E7C" w:rsidP="00435E7C">
      <w:pPr>
        <w:pStyle w:val="ListParagraph"/>
        <w:numPr>
          <w:ilvl w:val="0"/>
          <w:numId w:val="49"/>
        </w:numPr>
        <w:spacing w:after="0" w:line="240" w:lineRule="auto"/>
        <w:ind w:left="142" w:hanging="142"/>
        <w:jc w:val="both"/>
      </w:pPr>
      <w:r>
        <w:t>Earnings per share (“EPS”) (fully diluted) of 3.7pps (2022: 1.0pps)</w:t>
      </w:r>
    </w:p>
    <w:p w14:paraId="3139839D" w14:textId="77777777" w:rsidR="00435E7C" w:rsidRDefault="00435E7C" w:rsidP="00435E7C">
      <w:pPr>
        <w:spacing w:after="0" w:line="240" w:lineRule="auto"/>
        <w:jc w:val="both"/>
      </w:pPr>
      <w:r>
        <w:t>• Own-Book deal origination of £73.4m (2022: £64.4m), an increase of 14%</w:t>
      </w:r>
    </w:p>
    <w:p w14:paraId="067AFA47" w14:textId="77777777" w:rsidR="00435E7C" w:rsidRDefault="00435E7C" w:rsidP="00435E7C">
      <w:pPr>
        <w:spacing w:after="0" w:line="240" w:lineRule="auto"/>
        <w:jc w:val="both"/>
      </w:pPr>
      <w:r>
        <w:t>• Lending book of £170.1m at 31 May 2023 (2022: £136.8m), an increase of 24%</w:t>
      </w:r>
    </w:p>
    <w:p w14:paraId="36E019E9" w14:textId="77777777" w:rsidR="00435E7C" w:rsidRDefault="00435E7C" w:rsidP="00435E7C">
      <w:pPr>
        <w:spacing w:after="0" w:line="240" w:lineRule="auto"/>
        <w:jc w:val="both"/>
      </w:pPr>
      <w:r>
        <w:t>• Consolidated Net Assets at 31 May 2023 of £61.7m (2022: £58.1m), an increase of 15%</w:t>
      </w:r>
    </w:p>
    <w:p w14:paraId="4E4EC840" w14:textId="77777777" w:rsidR="00435E7C" w:rsidRPr="00740B2D" w:rsidRDefault="00435E7C" w:rsidP="00435E7C">
      <w:pPr>
        <w:spacing w:after="0" w:line="240" w:lineRule="auto"/>
        <w:jc w:val="both"/>
      </w:pPr>
      <w:r>
        <w:t>• Consolidated Net Tangible Assets at 31 May 2023 of £34.2m (2022: £30.5m), an increase of 12%</w:t>
      </w:r>
    </w:p>
    <w:p w14:paraId="3F651977" w14:textId="77777777" w:rsidR="00435E7C" w:rsidRPr="00256B08" w:rsidRDefault="00435E7C" w:rsidP="00435E7C">
      <w:pPr>
        <w:spacing w:after="0" w:line="240" w:lineRule="auto"/>
        <w:jc w:val="both"/>
        <w:rPr>
          <w:color w:val="000000" w:themeColor="text1"/>
        </w:rPr>
      </w:pPr>
      <w:r w:rsidRPr="0090539E">
        <w:rPr>
          <w:color w:val="000000" w:themeColor="text1"/>
        </w:rPr>
        <w:t xml:space="preserve">• </w:t>
      </w:r>
      <w:r>
        <w:rPr>
          <w:color w:val="000000" w:themeColor="text1"/>
        </w:rPr>
        <w:t>F</w:t>
      </w:r>
      <w:r w:rsidRPr="0090539E">
        <w:rPr>
          <w:color w:val="000000" w:themeColor="text1"/>
        </w:rPr>
        <w:t xml:space="preserve">uture </w:t>
      </w:r>
      <w:r>
        <w:rPr>
          <w:color w:val="000000" w:themeColor="text1"/>
        </w:rPr>
        <w:t xml:space="preserve">visibility of </w:t>
      </w:r>
      <w:r w:rsidRPr="0090539E">
        <w:rPr>
          <w:color w:val="000000" w:themeColor="text1"/>
        </w:rPr>
        <w:t>earnings with unearned income of £</w:t>
      </w:r>
      <w:r>
        <w:rPr>
          <w:color w:val="000000" w:themeColor="text1"/>
        </w:rPr>
        <w:t>21.2</w:t>
      </w:r>
      <w:r w:rsidRPr="0090539E">
        <w:rPr>
          <w:color w:val="000000" w:themeColor="text1"/>
        </w:rPr>
        <w:t>m (202</w:t>
      </w:r>
      <w:r>
        <w:rPr>
          <w:color w:val="000000" w:themeColor="text1"/>
        </w:rPr>
        <w:t>2</w:t>
      </w:r>
      <w:r w:rsidRPr="0090539E">
        <w:rPr>
          <w:color w:val="000000" w:themeColor="text1"/>
        </w:rPr>
        <w:t>: £1</w:t>
      </w:r>
      <w:r>
        <w:rPr>
          <w:color w:val="000000" w:themeColor="text1"/>
        </w:rPr>
        <w:t>6.7</w:t>
      </w:r>
      <w:r w:rsidRPr="0090539E">
        <w:rPr>
          <w:color w:val="000000" w:themeColor="text1"/>
        </w:rPr>
        <w:t>m)</w:t>
      </w:r>
      <w:r>
        <w:rPr>
          <w:color w:val="000000" w:themeColor="text1"/>
        </w:rPr>
        <w:t>, an increase of 27%</w:t>
      </w:r>
    </w:p>
    <w:p w14:paraId="248EB862" w14:textId="4881D34A" w:rsidR="00435E7C" w:rsidRDefault="00435E7C" w:rsidP="00435E7C">
      <w:pPr>
        <w:spacing w:after="0" w:line="240" w:lineRule="auto"/>
        <w:jc w:val="both"/>
        <w:rPr>
          <w:rStyle w:val="ag"/>
          <w:rFonts w:cstheme="minorHAnsi"/>
          <w:bCs/>
          <w:color w:val="000000"/>
        </w:rPr>
      </w:pPr>
      <w:r>
        <w:t xml:space="preserve">• Net </w:t>
      </w:r>
      <w:r>
        <w:rPr>
          <w:rStyle w:val="ag"/>
          <w:rFonts w:cstheme="minorHAnsi"/>
          <w:bCs/>
          <w:color w:val="000000"/>
        </w:rPr>
        <w:t>d</w:t>
      </w:r>
      <w:r w:rsidRPr="00CC48CC">
        <w:rPr>
          <w:rStyle w:val="ag"/>
          <w:rFonts w:cstheme="minorHAnsi"/>
          <w:bCs/>
          <w:color w:val="000000"/>
        </w:rPr>
        <w:t>eal</w:t>
      </w:r>
      <w:r>
        <w:rPr>
          <w:rStyle w:val="ag"/>
          <w:rFonts w:cstheme="minorHAnsi"/>
          <w:bCs/>
          <w:color w:val="000000"/>
        </w:rPr>
        <w:t>s in</w:t>
      </w:r>
      <w:r w:rsidRPr="00CC48CC">
        <w:rPr>
          <w:rStyle w:val="ag"/>
          <w:rFonts w:cstheme="minorHAnsi"/>
          <w:bCs/>
          <w:color w:val="000000"/>
        </w:rPr>
        <w:t xml:space="preserve"> arrears</w:t>
      </w:r>
      <w:r>
        <w:rPr>
          <w:rStyle w:val="ag"/>
          <w:rFonts w:cstheme="minorHAnsi"/>
          <w:bCs/>
          <w:color w:val="000000"/>
        </w:rPr>
        <w:t xml:space="preserve"> at 31 May 2021 of 6% (31 May 2022: 7%), an improvement of 1%</w:t>
      </w:r>
    </w:p>
    <w:p w14:paraId="12444C64" w14:textId="77777777" w:rsidR="00435E7C" w:rsidRPr="00892ACF" w:rsidRDefault="00435E7C" w:rsidP="00435E7C">
      <w:pPr>
        <w:spacing w:after="0" w:line="240" w:lineRule="auto"/>
        <w:jc w:val="both"/>
      </w:pPr>
    </w:p>
    <w:p w14:paraId="61334210" w14:textId="77777777" w:rsidR="00435E7C" w:rsidRPr="006F14E3" w:rsidRDefault="00435E7C" w:rsidP="00435E7C">
      <w:pPr>
        <w:spacing w:after="0" w:line="240" w:lineRule="auto"/>
        <w:jc w:val="both"/>
        <w:rPr>
          <w:b/>
          <w:bCs/>
        </w:rPr>
      </w:pPr>
      <w:r>
        <w:rPr>
          <w:b/>
          <w:bCs/>
        </w:rPr>
        <w:t xml:space="preserve">Operational </w:t>
      </w:r>
      <w:r w:rsidRPr="008470F2">
        <w:rPr>
          <w:b/>
          <w:bCs/>
        </w:rPr>
        <w:t xml:space="preserve">Highlights: </w:t>
      </w:r>
    </w:p>
    <w:p w14:paraId="067A4053" w14:textId="0B06C2ED" w:rsidR="00435E7C" w:rsidRDefault="00435E7C" w:rsidP="00435E7C">
      <w:pPr>
        <w:spacing w:after="0" w:line="240" w:lineRule="auto"/>
        <w:jc w:val="both"/>
      </w:pPr>
      <w:r>
        <w:t xml:space="preserve">• </w:t>
      </w:r>
      <w:r w:rsidR="00480B4B">
        <w:t>Ratio of o</w:t>
      </w:r>
      <w:r>
        <w:t xml:space="preserve">wn-book lending to </w:t>
      </w:r>
      <w:proofErr w:type="spellStart"/>
      <w:r>
        <w:t>broked</w:t>
      </w:r>
      <w:proofErr w:type="spellEnd"/>
      <w:r>
        <w:t>-on lending increased to 96% vs 4% during the year (up from 87</w:t>
      </w:r>
      <w:r w:rsidR="00480B4B">
        <w:t>%</w:t>
      </w:r>
      <w:r w:rsidR="001C63E6">
        <w:t xml:space="preserve"> vs </w:t>
      </w:r>
      <w:r>
        <w:t>13</w:t>
      </w:r>
      <w:r w:rsidR="00480B4B">
        <w:t>%</w:t>
      </w:r>
      <w:r>
        <w:t xml:space="preserve"> in the prior year)</w:t>
      </w:r>
    </w:p>
    <w:p w14:paraId="1B0261D5" w14:textId="7DFBECF8" w:rsidR="00435E7C" w:rsidRDefault="00435E7C" w:rsidP="00435E7C">
      <w:pPr>
        <w:pStyle w:val="ListParagraph"/>
        <w:numPr>
          <w:ilvl w:val="0"/>
          <w:numId w:val="49"/>
        </w:numPr>
        <w:spacing w:after="0" w:line="240" w:lineRule="auto"/>
        <w:ind w:left="142" w:hanging="142"/>
        <w:jc w:val="both"/>
      </w:pPr>
      <w:r>
        <w:rPr>
          <w:rFonts w:eastAsia="Times New Roman"/>
        </w:rPr>
        <w:t>S</w:t>
      </w:r>
      <w:r w:rsidRPr="00CA0C89">
        <w:rPr>
          <w:rFonts w:eastAsia="Times New Roman"/>
        </w:rPr>
        <w:t xml:space="preserve">trong growth </w:t>
      </w:r>
      <w:r>
        <w:rPr>
          <w:rFonts w:eastAsia="Times New Roman"/>
        </w:rPr>
        <w:t>within</w:t>
      </w:r>
      <w:r w:rsidRPr="00CA0C89">
        <w:rPr>
          <w:rFonts w:eastAsia="Times New Roman"/>
        </w:rPr>
        <w:t xml:space="preserve"> </w:t>
      </w:r>
      <w:r>
        <w:rPr>
          <w:rFonts w:eastAsia="Times New Roman"/>
        </w:rPr>
        <w:t xml:space="preserve">both </w:t>
      </w:r>
      <w:r w:rsidRPr="00CA0C89">
        <w:rPr>
          <w:rFonts w:eastAsia="Times New Roman"/>
        </w:rPr>
        <w:t xml:space="preserve">Invoice Finance division (lending </w:t>
      </w:r>
      <w:r>
        <w:rPr>
          <w:rFonts w:eastAsia="Times New Roman"/>
        </w:rPr>
        <w:t>increased 30%</w:t>
      </w:r>
      <w:r w:rsidRPr="00CA0C89">
        <w:rPr>
          <w:rFonts w:eastAsia="Times New Roman"/>
        </w:rPr>
        <w:t xml:space="preserve"> </w:t>
      </w:r>
      <w:r w:rsidR="00ED2000" w:rsidRPr="00CA0C89">
        <w:rPr>
          <w:rFonts w:eastAsia="Times New Roman"/>
        </w:rPr>
        <w:t>o</w:t>
      </w:r>
      <w:r w:rsidR="00ED2000">
        <w:rPr>
          <w:rFonts w:eastAsia="Times New Roman"/>
        </w:rPr>
        <w:t>ver</w:t>
      </w:r>
      <w:r w:rsidR="00ED2000" w:rsidRPr="00CA0C89">
        <w:rPr>
          <w:rFonts w:eastAsia="Times New Roman"/>
        </w:rPr>
        <w:t xml:space="preserve"> previous year</w:t>
      </w:r>
      <w:r w:rsidR="00ED2000" w:rsidRPr="00CA0C89">
        <w:rPr>
          <w:rFonts w:eastAsia="Times New Roman"/>
        </w:rPr>
        <w:t xml:space="preserve"> </w:t>
      </w:r>
      <w:r w:rsidRPr="00CA0C89">
        <w:rPr>
          <w:rFonts w:eastAsia="Times New Roman"/>
        </w:rPr>
        <w:t xml:space="preserve">to £56m) and </w:t>
      </w:r>
      <w:r>
        <w:rPr>
          <w:rFonts w:eastAsia="Times New Roman"/>
        </w:rPr>
        <w:t xml:space="preserve">in </w:t>
      </w:r>
      <w:r w:rsidR="00ED2000">
        <w:rPr>
          <w:rFonts w:eastAsia="Times New Roman"/>
        </w:rPr>
        <w:t xml:space="preserve">the </w:t>
      </w:r>
      <w:r w:rsidRPr="00CA0C89">
        <w:rPr>
          <w:rFonts w:eastAsia="Times New Roman"/>
        </w:rPr>
        <w:t>“Hard Asset” offering within the Asset Finance division (up 55% to £62m)</w:t>
      </w:r>
    </w:p>
    <w:p w14:paraId="456FEC44" w14:textId="77777777" w:rsidR="00435E7C" w:rsidRDefault="00435E7C" w:rsidP="00435E7C">
      <w:pPr>
        <w:spacing w:after="0" w:line="240" w:lineRule="auto"/>
        <w:jc w:val="both"/>
        <w:rPr>
          <w:rFonts w:cstheme="minorHAnsi"/>
          <w:bCs/>
        </w:rPr>
      </w:pPr>
      <w:r>
        <w:t>• Business streamlining completed with divestment of non-core, consumer mortgage brokerage</w:t>
      </w:r>
    </w:p>
    <w:p w14:paraId="71C7B5E8" w14:textId="77777777" w:rsidR="00435E7C" w:rsidRDefault="00435E7C" w:rsidP="00435E7C">
      <w:pPr>
        <w:spacing w:after="0" w:line="240" w:lineRule="auto"/>
        <w:jc w:val="both"/>
        <w:rPr>
          <w:rFonts w:cstheme="minorHAnsi"/>
          <w:bCs/>
        </w:rPr>
      </w:pPr>
      <w:r>
        <w:t>• Supportive funding partners with unused lending headroom of approximately £50m</w:t>
      </w:r>
    </w:p>
    <w:p w14:paraId="159A70E2" w14:textId="77777777" w:rsidR="00435E7C" w:rsidRDefault="00435E7C" w:rsidP="00435E7C">
      <w:pPr>
        <w:pStyle w:val="ar"/>
        <w:spacing w:before="0" w:beforeAutospacing="0" w:after="0" w:afterAutospacing="0"/>
        <w:jc w:val="both"/>
        <w:rPr>
          <w:rStyle w:val="ag"/>
          <w:rFonts w:ascii="Calibri" w:hAnsi="Calibri" w:cs="Calibri"/>
          <w:b/>
          <w:bCs/>
          <w:color w:val="000000"/>
          <w:sz w:val="21"/>
          <w:szCs w:val="21"/>
        </w:rPr>
      </w:pPr>
    </w:p>
    <w:p w14:paraId="60E93B48" w14:textId="77777777" w:rsidR="00435E7C" w:rsidRPr="0069056F" w:rsidRDefault="00435E7C" w:rsidP="00435E7C">
      <w:pPr>
        <w:pStyle w:val="ar"/>
        <w:spacing w:before="0" w:beforeAutospacing="0" w:after="0" w:afterAutospacing="0"/>
        <w:jc w:val="both"/>
        <w:rPr>
          <w:rFonts w:ascii="Calibri" w:hAnsi="Calibri" w:cs="Calibri"/>
          <w:b/>
          <w:bCs/>
          <w:color w:val="000000"/>
          <w:sz w:val="21"/>
          <w:szCs w:val="21"/>
        </w:rPr>
      </w:pPr>
      <w:r>
        <w:rPr>
          <w:rStyle w:val="ag"/>
          <w:rFonts w:ascii="Calibri" w:hAnsi="Calibri" w:cs="Calibri"/>
          <w:b/>
          <w:bCs/>
          <w:color w:val="000000"/>
          <w:sz w:val="21"/>
          <w:szCs w:val="21"/>
        </w:rPr>
        <w:t>Ed Rimmer</w:t>
      </w:r>
      <w:r w:rsidRPr="00205D27">
        <w:rPr>
          <w:rStyle w:val="ag"/>
          <w:rFonts w:ascii="Calibri" w:hAnsi="Calibri" w:cs="Calibri"/>
          <w:b/>
          <w:bCs/>
          <w:color w:val="000000"/>
          <w:sz w:val="21"/>
          <w:szCs w:val="21"/>
        </w:rPr>
        <w:t xml:space="preserve">, Chief Executive Officer, </w:t>
      </w:r>
      <w:r>
        <w:rPr>
          <w:rStyle w:val="ag"/>
          <w:rFonts w:ascii="Calibri" w:hAnsi="Calibri" w:cs="Calibri"/>
          <w:b/>
          <w:bCs/>
          <w:color w:val="000000"/>
          <w:sz w:val="21"/>
          <w:szCs w:val="21"/>
        </w:rPr>
        <w:t>added</w:t>
      </w:r>
      <w:r w:rsidRPr="00205D27">
        <w:rPr>
          <w:rStyle w:val="ag"/>
          <w:rFonts w:ascii="Calibri" w:hAnsi="Calibri" w:cs="Calibri"/>
          <w:b/>
          <w:bCs/>
          <w:color w:val="000000"/>
          <w:sz w:val="21"/>
          <w:szCs w:val="21"/>
        </w:rPr>
        <w:t>:</w:t>
      </w:r>
    </w:p>
    <w:p w14:paraId="437B691A" w14:textId="08D66D45" w:rsidR="007944E0" w:rsidRDefault="00435E7C" w:rsidP="00435E7C">
      <w:pPr>
        <w:spacing w:after="0" w:line="240" w:lineRule="auto"/>
        <w:jc w:val="both"/>
        <w:rPr>
          <w:rStyle w:val="xag"/>
          <w:rFonts w:eastAsia="Times New Roman"/>
          <w:i/>
          <w:iCs/>
          <w:color w:val="000000"/>
          <w:sz w:val="21"/>
          <w:szCs w:val="21"/>
        </w:rPr>
      </w:pPr>
      <w:r w:rsidRPr="00CA06E7">
        <w:rPr>
          <w:rStyle w:val="ag"/>
          <w:rFonts w:cstheme="minorHAnsi"/>
          <w:bCs/>
          <w:i/>
          <w:iCs/>
          <w:lang w:eastAsia="en-GB"/>
        </w:rPr>
        <w:t>"</w:t>
      </w:r>
      <w:r>
        <w:rPr>
          <w:rStyle w:val="xag"/>
          <w:rFonts w:eastAsia="Times New Roman"/>
          <w:i/>
          <w:iCs/>
          <w:color w:val="000000"/>
          <w:sz w:val="21"/>
          <w:szCs w:val="21"/>
        </w:rPr>
        <w:t xml:space="preserve">The financial year to 31 May 2023 marked the halfway point in our four-year, medium-term strategic plan through to the end of May 2025. </w:t>
      </w:r>
      <w:r w:rsidR="00AF619D">
        <w:rPr>
          <w:rStyle w:val="xag"/>
          <w:rFonts w:eastAsia="Times New Roman"/>
          <w:i/>
          <w:iCs/>
          <w:color w:val="000000"/>
          <w:sz w:val="21"/>
          <w:szCs w:val="21"/>
        </w:rPr>
        <w:t>O</w:t>
      </w:r>
      <w:r>
        <w:rPr>
          <w:rStyle w:val="xag"/>
          <w:rFonts w:eastAsia="Times New Roman"/>
          <w:i/>
          <w:iCs/>
          <w:color w:val="000000"/>
          <w:sz w:val="21"/>
          <w:szCs w:val="21"/>
        </w:rPr>
        <w:t xml:space="preserve">ur </w:t>
      </w:r>
      <w:r w:rsidR="00124662">
        <w:rPr>
          <w:rStyle w:val="xag"/>
          <w:rFonts w:eastAsia="Times New Roman"/>
          <w:i/>
          <w:iCs/>
          <w:color w:val="000000"/>
          <w:sz w:val="21"/>
          <w:szCs w:val="21"/>
        </w:rPr>
        <w:t xml:space="preserve">performance </w:t>
      </w:r>
      <w:r>
        <w:rPr>
          <w:rStyle w:val="xag"/>
          <w:rFonts w:eastAsia="Times New Roman"/>
          <w:i/>
          <w:iCs/>
          <w:color w:val="000000"/>
          <w:sz w:val="21"/>
          <w:szCs w:val="21"/>
        </w:rPr>
        <w:t>to date and the steps taken throughout the year</w:t>
      </w:r>
      <w:r w:rsidR="00AF619D">
        <w:rPr>
          <w:rStyle w:val="xag"/>
          <w:rFonts w:eastAsia="Times New Roman"/>
          <w:i/>
          <w:iCs/>
          <w:color w:val="000000"/>
          <w:sz w:val="21"/>
          <w:szCs w:val="21"/>
        </w:rPr>
        <w:t xml:space="preserve"> suggest we are</w:t>
      </w:r>
      <w:r>
        <w:rPr>
          <w:rStyle w:val="xag"/>
          <w:rFonts w:eastAsia="Times New Roman"/>
          <w:i/>
          <w:iCs/>
          <w:color w:val="000000"/>
          <w:sz w:val="21"/>
          <w:szCs w:val="21"/>
        </w:rPr>
        <w:t xml:space="preserve"> well on track to achieve our stated targets.</w:t>
      </w:r>
    </w:p>
    <w:p w14:paraId="44B48F43" w14:textId="77777777" w:rsidR="00435E7C" w:rsidRDefault="00435E7C" w:rsidP="00435E7C">
      <w:pPr>
        <w:spacing w:after="0" w:line="240" w:lineRule="auto"/>
        <w:jc w:val="both"/>
        <w:rPr>
          <w:rStyle w:val="xag"/>
          <w:rFonts w:eastAsia="Times New Roman"/>
          <w:i/>
          <w:iCs/>
          <w:color w:val="000000"/>
          <w:sz w:val="21"/>
          <w:szCs w:val="21"/>
        </w:rPr>
      </w:pPr>
    </w:p>
    <w:p w14:paraId="5DE8D288" w14:textId="77B7C04C" w:rsidR="00435E7C" w:rsidRPr="002E21E2" w:rsidRDefault="00435E7C" w:rsidP="00435E7C">
      <w:pPr>
        <w:spacing w:after="0" w:line="240" w:lineRule="auto"/>
        <w:jc w:val="both"/>
        <w:rPr>
          <w:rFonts w:cstheme="minorHAnsi"/>
          <w:bCs/>
          <w:i/>
          <w:iCs/>
          <w:lang w:eastAsia="en-GB"/>
        </w:rPr>
      </w:pPr>
      <w:r>
        <w:rPr>
          <w:rStyle w:val="xag"/>
          <w:rFonts w:eastAsia="Times New Roman"/>
          <w:i/>
          <w:iCs/>
          <w:color w:val="000000"/>
          <w:sz w:val="21"/>
          <w:szCs w:val="21"/>
        </w:rPr>
        <w:t>The Group remains very well positioned to take advantage of the opportunities that the market presents, whilst our gathering trading momentum provides real optimism</w:t>
      </w:r>
      <w:r>
        <w:rPr>
          <w:rStyle w:val="ag"/>
          <w:rFonts w:cstheme="minorHAnsi"/>
          <w:bCs/>
          <w:i/>
          <w:iCs/>
          <w:lang w:eastAsia="en-GB"/>
        </w:rPr>
        <w:t xml:space="preserve"> </w:t>
      </w:r>
      <w:r>
        <w:rPr>
          <w:rFonts w:cstheme="minorHAnsi"/>
          <w:i/>
          <w:iCs/>
          <w:color w:val="000000"/>
          <w:lang w:eastAsia="en-GB"/>
        </w:rPr>
        <w:t>in our ability to</w:t>
      </w:r>
      <w:r w:rsidRPr="00F53BE7">
        <w:rPr>
          <w:rFonts w:cstheme="minorHAnsi"/>
          <w:i/>
          <w:iCs/>
          <w:color w:val="000000"/>
          <w:lang w:eastAsia="en-GB"/>
        </w:rPr>
        <w:t xml:space="preserve"> increas</w:t>
      </w:r>
      <w:r>
        <w:rPr>
          <w:rFonts w:cstheme="minorHAnsi"/>
          <w:i/>
          <w:iCs/>
          <w:color w:val="000000"/>
          <w:lang w:eastAsia="en-GB"/>
        </w:rPr>
        <w:t>e</w:t>
      </w:r>
      <w:r w:rsidRPr="00F53BE7">
        <w:rPr>
          <w:rFonts w:cstheme="minorHAnsi"/>
          <w:i/>
          <w:iCs/>
          <w:color w:val="000000"/>
          <w:lang w:eastAsia="en-GB"/>
        </w:rPr>
        <w:t xml:space="preserve"> shareholder value through </w:t>
      </w:r>
      <w:r>
        <w:rPr>
          <w:rFonts w:cstheme="minorHAnsi"/>
          <w:i/>
          <w:iCs/>
          <w:color w:val="000000"/>
          <w:lang w:eastAsia="en-GB"/>
        </w:rPr>
        <w:t>the delivery of our</w:t>
      </w:r>
      <w:r w:rsidRPr="00F53BE7">
        <w:rPr>
          <w:rFonts w:cstheme="minorHAnsi"/>
          <w:i/>
          <w:iCs/>
          <w:color w:val="000000"/>
          <w:lang w:eastAsia="en-GB"/>
        </w:rPr>
        <w:t xml:space="preserve"> stated </w:t>
      </w:r>
      <w:r>
        <w:rPr>
          <w:rFonts w:cstheme="minorHAnsi"/>
          <w:i/>
          <w:iCs/>
          <w:color w:val="000000"/>
          <w:lang w:eastAsia="en-GB"/>
        </w:rPr>
        <w:t xml:space="preserve">four-year </w:t>
      </w:r>
      <w:r w:rsidRPr="00F53BE7">
        <w:rPr>
          <w:rFonts w:cstheme="minorHAnsi"/>
          <w:i/>
          <w:iCs/>
          <w:color w:val="000000"/>
          <w:lang w:eastAsia="en-GB"/>
        </w:rPr>
        <w:t>strategy.”</w:t>
      </w:r>
      <w:r w:rsidR="007944E0">
        <w:rPr>
          <w:rFonts w:cstheme="minorHAnsi"/>
          <w:i/>
          <w:iCs/>
          <w:color w:val="000000"/>
          <w:lang w:eastAsia="en-GB"/>
        </w:rPr>
        <w:t xml:space="preserve"> </w:t>
      </w:r>
    </w:p>
    <w:p w14:paraId="47E19967" w14:textId="77777777" w:rsidR="00435E7C" w:rsidRDefault="00435E7C" w:rsidP="00435E7C">
      <w:pPr>
        <w:spacing w:after="0" w:line="240" w:lineRule="auto"/>
        <w:ind w:right="-46"/>
        <w:jc w:val="both"/>
      </w:pPr>
    </w:p>
    <w:p w14:paraId="34C6D0C5" w14:textId="77777777" w:rsidR="00435E7C" w:rsidRDefault="00435E7C" w:rsidP="00435E7C">
      <w:pPr>
        <w:spacing w:after="0" w:line="240" w:lineRule="auto"/>
        <w:jc w:val="both"/>
        <w:rPr>
          <w:rStyle w:val="ag"/>
          <w:rFonts w:cstheme="minorHAnsi"/>
          <w:bCs/>
          <w:lang w:eastAsia="en-GB"/>
        </w:rPr>
      </w:pPr>
      <w:r w:rsidRPr="00EE47F5">
        <w:rPr>
          <w:rStyle w:val="ag"/>
          <w:rFonts w:cstheme="minorHAnsi"/>
          <w:bCs/>
          <w:lang w:eastAsia="en-GB"/>
        </w:rPr>
        <w:t xml:space="preserve">The Board continues to expect the Group’s trading for the </w:t>
      </w:r>
      <w:r>
        <w:rPr>
          <w:rStyle w:val="ag"/>
          <w:rFonts w:cstheme="minorHAnsi"/>
          <w:bCs/>
          <w:lang w:eastAsia="en-GB"/>
        </w:rPr>
        <w:t xml:space="preserve">current financial </w:t>
      </w:r>
      <w:r w:rsidRPr="00EE47F5">
        <w:rPr>
          <w:rStyle w:val="ag"/>
          <w:rFonts w:cstheme="minorHAnsi"/>
          <w:bCs/>
          <w:lang w:eastAsia="en-GB"/>
        </w:rPr>
        <w:t>year</w:t>
      </w:r>
      <w:r>
        <w:rPr>
          <w:rStyle w:val="ag"/>
          <w:rFonts w:cstheme="minorHAnsi"/>
          <w:bCs/>
          <w:lang w:eastAsia="en-GB"/>
        </w:rPr>
        <w:t xml:space="preserve"> to 31 May 2024</w:t>
      </w:r>
      <w:r w:rsidRPr="00EE47F5">
        <w:rPr>
          <w:rStyle w:val="ag"/>
          <w:rFonts w:cstheme="minorHAnsi"/>
          <w:bCs/>
          <w:lang w:eastAsia="en-GB"/>
        </w:rPr>
        <w:t xml:space="preserve"> to be in line with market expectations.</w:t>
      </w:r>
    </w:p>
    <w:p w14:paraId="4A43F2ED" w14:textId="77777777" w:rsidR="00435E7C" w:rsidRDefault="00435E7C" w:rsidP="00435E7C">
      <w:pPr>
        <w:pStyle w:val="NormalWeb"/>
        <w:shd w:val="clear" w:color="auto" w:fill="FFFFFF"/>
        <w:spacing w:before="0" w:beforeAutospacing="0" w:after="0" w:afterAutospacing="0"/>
        <w:jc w:val="both"/>
        <w:rPr>
          <w:rFonts w:cstheme="minorHAnsi"/>
        </w:rPr>
      </w:pPr>
    </w:p>
    <w:p w14:paraId="2BCB5460" w14:textId="39365A93" w:rsidR="00435E7C" w:rsidRDefault="00435E7C" w:rsidP="00435E7C">
      <w:pPr>
        <w:pStyle w:val="NormalWeb"/>
        <w:shd w:val="clear" w:color="auto" w:fill="FFFFFF"/>
        <w:spacing w:before="0" w:beforeAutospacing="0" w:after="0" w:afterAutospacing="0"/>
        <w:jc w:val="both"/>
      </w:pPr>
      <w:r>
        <w:rPr>
          <w:rFonts w:cstheme="minorHAnsi"/>
        </w:rPr>
        <w:t>Chief Executive Officer, Ed Rimmer, and Chief Financial Officer, James Roberts,</w:t>
      </w:r>
      <w:r>
        <w:t xml:space="preserve"> will deliver a live presentation relating to the</w:t>
      </w:r>
      <w:r w:rsidR="002B49A7">
        <w:t>se</w:t>
      </w:r>
      <w:r>
        <w:t xml:space="preserve"> audited annual results and</w:t>
      </w:r>
      <w:r w:rsidR="00F91FD6">
        <w:t xml:space="preserve"> the simultaneously rele</w:t>
      </w:r>
      <w:r w:rsidR="00AD5CFD">
        <w:t>a</w:t>
      </w:r>
      <w:r w:rsidR="00F91FD6">
        <w:t>sed</w:t>
      </w:r>
      <w:r>
        <w:t xml:space="preserve"> Q1 trading update via the Investor Meet Company platform at 1.00pm BST</w:t>
      </w:r>
      <w:r w:rsidR="00BD7D2D">
        <w:t xml:space="preserve"> today</w:t>
      </w:r>
      <w:r>
        <w:t xml:space="preserve">. The presentation is open to all existing and potential shareholders and questions can be submitted at any time during the live presentation via the Investor Meet Company dashboard. Investors can sign up to Investor Meet Company for free and add to meet Time Finance plc via: </w:t>
      </w:r>
      <w:hyperlink r:id="rId13" w:history="1">
        <w:r w:rsidRPr="00B21C95">
          <w:rPr>
            <w:rStyle w:val="Hyperlink"/>
            <w:rFonts w:asciiTheme="minorHAnsi" w:hAnsiTheme="minorHAnsi" w:cstheme="minorHAnsi"/>
            <w:color w:val="6D8FD9"/>
          </w:rPr>
          <w:t>https://www.investormeetcompany.com/time-finance-plc/register-investor</w:t>
        </w:r>
      </w:hyperlink>
      <w:r>
        <w:rPr>
          <w:rFonts w:asciiTheme="minorHAnsi" w:hAnsiTheme="minorHAnsi" w:cstheme="minorHAnsi"/>
          <w:color w:val="132346"/>
        </w:rPr>
        <w:t>.</w:t>
      </w:r>
      <w:r>
        <w:t xml:space="preserve"> </w:t>
      </w:r>
    </w:p>
    <w:p w14:paraId="3270BE64" w14:textId="77777777" w:rsidR="00435E7C" w:rsidRDefault="00435E7C" w:rsidP="00435E7C">
      <w:pPr>
        <w:spacing w:after="0" w:line="240" w:lineRule="auto"/>
        <w:jc w:val="both"/>
        <w:rPr>
          <w:sz w:val="21"/>
          <w:szCs w:val="21"/>
        </w:rPr>
      </w:pPr>
    </w:p>
    <w:p w14:paraId="2A44E22A" w14:textId="77777777" w:rsidR="00435E7C" w:rsidRPr="006F14E3" w:rsidRDefault="00435E7C" w:rsidP="00435E7C">
      <w:pPr>
        <w:spacing w:after="0" w:line="240" w:lineRule="auto"/>
        <w:jc w:val="both"/>
        <w:rPr>
          <w:rStyle w:val="ag"/>
          <w:rFonts w:cstheme="minorHAnsi"/>
          <w:bCs/>
          <w:i/>
          <w:iCs/>
          <w:lang w:eastAsia="en-GB"/>
        </w:rPr>
      </w:pPr>
      <w:r w:rsidRPr="006F14E3">
        <w:rPr>
          <w:rStyle w:val="ag"/>
          <w:bCs/>
          <w:i/>
          <w:iCs/>
          <w:lang w:eastAsia="en-GB"/>
        </w:rPr>
        <w:t>This announcement contains inside information for the purposes of Article 7 of EU Regulation 596/2014 (as amended), which forms part of domestic UK law pursuant to the European Union (Withdrawal) Act 2018. Upon publication of this announcement via a Regulatory Information Service, this inside information is now considered to be in the public domain.</w:t>
      </w:r>
    </w:p>
    <w:p w14:paraId="2FA524F3" w14:textId="77777777" w:rsidR="00435E7C" w:rsidRPr="00901E18" w:rsidRDefault="00435E7C" w:rsidP="00435E7C">
      <w:pPr>
        <w:spacing w:after="0" w:line="240" w:lineRule="auto"/>
        <w:jc w:val="both"/>
        <w:rPr>
          <w:rStyle w:val="ac"/>
          <w:rFonts w:cstheme="minorHAnsi"/>
          <w:color w:val="000000"/>
          <w:sz w:val="21"/>
          <w:szCs w:val="21"/>
          <w:lang w:eastAsia="en-GB"/>
        </w:rPr>
      </w:pPr>
    </w:p>
    <w:tbl>
      <w:tblPr>
        <w:tblW w:w="9200" w:type="dxa"/>
        <w:tblInd w:w="-34" w:type="dxa"/>
        <w:tblLook w:val="04A0" w:firstRow="1" w:lastRow="0" w:firstColumn="1" w:lastColumn="0" w:noHBand="0" w:noVBand="1"/>
      </w:tblPr>
      <w:tblGrid>
        <w:gridCol w:w="5104"/>
        <w:gridCol w:w="4096"/>
      </w:tblGrid>
      <w:tr w:rsidR="00435E7C" w:rsidRPr="00D23557" w14:paraId="40FA4567" w14:textId="77777777" w:rsidTr="009202C6">
        <w:trPr>
          <w:trHeight w:val="346"/>
        </w:trPr>
        <w:tc>
          <w:tcPr>
            <w:tcW w:w="5104" w:type="dxa"/>
            <w:hideMark/>
          </w:tcPr>
          <w:p w14:paraId="6D8740E3" w14:textId="77777777" w:rsidR="00435E7C" w:rsidRDefault="00435E7C" w:rsidP="009202C6">
            <w:pPr>
              <w:keepLines/>
              <w:widowControl w:val="0"/>
              <w:autoSpaceDE w:val="0"/>
              <w:autoSpaceDN w:val="0"/>
              <w:adjustRightInd w:val="0"/>
              <w:spacing w:after="0" w:line="240" w:lineRule="auto"/>
              <w:rPr>
                <w:rFonts w:cstheme="minorHAnsi"/>
                <w:b/>
                <w:bCs/>
                <w:color w:val="000000"/>
                <w:lang w:val="en-US" w:eastAsia="en-GB"/>
              </w:rPr>
            </w:pPr>
          </w:p>
          <w:p w14:paraId="78D130A8" w14:textId="77777777" w:rsidR="00435E7C" w:rsidRPr="00D23557" w:rsidRDefault="00435E7C" w:rsidP="009202C6">
            <w:pPr>
              <w:keepLines/>
              <w:widowControl w:val="0"/>
              <w:autoSpaceDE w:val="0"/>
              <w:autoSpaceDN w:val="0"/>
              <w:adjustRightInd w:val="0"/>
              <w:spacing w:after="0" w:line="240" w:lineRule="auto"/>
              <w:rPr>
                <w:rFonts w:cstheme="minorHAnsi"/>
                <w:b/>
                <w:lang w:val="en-US"/>
              </w:rPr>
            </w:pPr>
            <w:r w:rsidRPr="00D23557">
              <w:rPr>
                <w:rFonts w:cstheme="minorHAnsi"/>
                <w:b/>
                <w:bCs/>
                <w:color w:val="000000"/>
                <w:lang w:val="en-US" w:eastAsia="en-GB"/>
              </w:rPr>
              <w:t>For further information, please contact:</w:t>
            </w:r>
          </w:p>
        </w:tc>
        <w:tc>
          <w:tcPr>
            <w:tcW w:w="4096" w:type="dxa"/>
          </w:tcPr>
          <w:p w14:paraId="0C44A854" w14:textId="77777777" w:rsidR="00435E7C" w:rsidRPr="00D23557" w:rsidRDefault="00435E7C" w:rsidP="009202C6">
            <w:pPr>
              <w:keepLines/>
              <w:widowControl w:val="0"/>
              <w:autoSpaceDE w:val="0"/>
              <w:autoSpaceDN w:val="0"/>
              <w:adjustRightInd w:val="0"/>
              <w:spacing w:after="0" w:line="240" w:lineRule="auto"/>
              <w:ind w:left="142"/>
              <w:rPr>
                <w:rFonts w:cstheme="minorHAnsi"/>
                <w:color w:val="000000"/>
                <w:lang w:val="en-US" w:eastAsia="en-GB"/>
              </w:rPr>
            </w:pPr>
          </w:p>
        </w:tc>
      </w:tr>
      <w:tr w:rsidR="00435E7C" w:rsidRPr="00D23557" w14:paraId="7D64A37E" w14:textId="77777777" w:rsidTr="009202C6">
        <w:trPr>
          <w:trHeight w:val="60"/>
        </w:trPr>
        <w:tc>
          <w:tcPr>
            <w:tcW w:w="5104" w:type="dxa"/>
          </w:tcPr>
          <w:p w14:paraId="5C4564AC" w14:textId="77777777" w:rsidR="00435E7C" w:rsidRPr="00D23557" w:rsidRDefault="00435E7C" w:rsidP="009202C6">
            <w:pPr>
              <w:keepLines/>
              <w:widowControl w:val="0"/>
              <w:autoSpaceDE w:val="0"/>
              <w:autoSpaceDN w:val="0"/>
              <w:adjustRightInd w:val="0"/>
              <w:spacing w:after="0" w:line="240" w:lineRule="auto"/>
              <w:jc w:val="both"/>
              <w:rPr>
                <w:rFonts w:cstheme="minorHAnsi"/>
                <w:b/>
                <w:bCs/>
                <w:color w:val="000000"/>
                <w:lang w:val="en-US" w:eastAsia="en-GB"/>
              </w:rPr>
            </w:pPr>
          </w:p>
        </w:tc>
        <w:tc>
          <w:tcPr>
            <w:tcW w:w="4096" w:type="dxa"/>
          </w:tcPr>
          <w:p w14:paraId="6D33F5AB" w14:textId="77777777" w:rsidR="00435E7C" w:rsidRPr="00D23557" w:rsidRDefault="00435E7C" w:rsidP="009202C6">
            <w:pPr>
              <w:keepLines/>
              <w:widowControl w:val="0"/>
              <w:autoSpaceDE w:val="0"/>
              <w:autoSpaceDN w:val="0"/>
              <w:adjustRightInd w:val="0"/>
              <w:spacing w:after="0" w:line="240" w:lineRule="auto"/>
              <w:ind w:left="142"/>
              <w:jc w:val="right"/>
              <w:rPr>
                <w:rFonts w:cstheme="minorHAnsi"/>
                <w:color w:val="000000"/>
                <w:lang w:val="en-US" w:eastAsia="en-GB"/>
              </w:rPr>
            </w:pPr>
          </w:p>
        </w:tc>
      </w:tr>
      <w:tr w:rsidR="00435E7C" w:rsidRPr="00D23557" w14:paraId="223E2FF9" w14:textId="77777777" w:rsidTr="009202C6">
        <w:trPr>
          <w:trHeight w:val="247"/>
        </w:trPr>
        <w:tc>
          <w:tcPr>
            <w:tcW w:w="5104" w:type="dxa"/>
            <w:hideMark/>
          </w:tcPr>
          <w:p w14:paraId="18E11B14" w14:textId="77777777" w:rsidR="00435E7C" w:rsidRPr="00D23557" w:rsidRDefault="00435E7C" w:rsidP="009202C6">
            <w:pPr>
              <w:keepLines/>
              <w:widowControl w:val="0"/>
              <w:autoSpaceDE w:val="0"/>
              <w:autoSpaceDN w:val="0"/>
              <w:adjustRightInd w:val="0"/>
              <w:spacing w:after="0" w:line="240" w:lineRule="auto"/>
              <w:jc w:val="both"/>
              <w:rPr>
                <w:rFonts w:cstheme="minorHAnsi"/>
                <w:b/>
                <w:bCs/>
                <w:color w:val="000000"/>
                <w:lang w:val="en-US" w:eastAsia="en-GB"/>
              </w:rPr>
            </w:pPr>
            <w:r w:rsidRPr="00D23557">
              <w:rPr>
                <w:rFonts w:cstheme="minorHAnsi"/>
                <w:b/>
                <w:bCs/>
                <w:color w:val="000000"/>
                <w:lang w:val="en-US" w:eastAsia="en-GB"/>
              </w:rPr>
              <w:t>Time Finance plc</w:t>
            </w:r>
          </w:p>
        </w:tc>
        <w:tc>
          <w:tcPr>
            <w:tcW w:w="4096" w:type="dxa"/>
          </w:tcPr>
          <w:p w14:paraId="0ED87CF3" w14:textId="77777777" w:rsidR="00435E7C" w:rsidRPr="00D23557" w:rsidRDefault="00435E7C" w:rsidP="009202C6">
            <w:pPr>
              <w:keepLines/>
              <w:widowControl w:val="0"/>
              <w:autoSpaceDE w:val="0"/>
              <w:autoSpaceDN w:val="0"/>
              <w:adjustRightInd w:val="0"/>
              <w:spacing w:after="0" w:line="240" w:lineRule="auto"/>
              <w:ind w:left="142"/>
              <w:jc w:val="right"/>
              <w:rPr>
                <w:rFonts w:cstheme="minorHAnsi"/>
                <w:color w:val="000000"/>
                <w:lang w:val="en-US" w:eastAsia="en-GB"/>
              </w:rPr>
            </w:pPr>
          </w:p>
        </w:tc>
      </w:tr>
      <w:tr w:rsidR="00435E7C" w:rsidRPr="00D23557" w14:paraId="19D3D534" w14:textId="77777777" w:rsidTr="009202C6">
        <w:trPr>
          <w:trHeight w:val="167"/>
        </w:trPr>
        <w:tc>
          <w:tcPr>
            <w:tcW w:w="5104" w:type="dxa"/>
            <w:hideMark/>
          </w:tcPr>
          <w:p w14:paraId="46C3380D" w14:textId="77777777" w:rsidR="00435E7C" w:rsidRPr="00D23557" w:rsidRDefault="00435E7C" w:rsidP="009202C6">
            <w:pPr>
              <w:keepLines/>
              <w:widowControl w:val="0"/>
              <w:autoSpaceDE w:val="0"/>
              <w:autoSpaceDN w:val="0"/>
              <w:adjustRightInd w:val="0"/>
              <w:spacing w:after="0" w:line="240" w:lineRule="auto"/>
              <w:jc w:val="both"/>
              <w:rPr>
                <w:rFonts w:cstheme="minorHAnsi"/>
                <w:color w:val="000000"/>
                <w:lang w:val="en-US" w:eastAsia="en-GB"/>
              </w:rPr>
            </w:pPr>
            <w:r w:rsidRPr="00D23557">
              <w:rPr>
                <w:rFonts w:cstheme="minorHAnsi"/>
                <w:color w:val="000000"/>
                <w:lang w:val="en-US" w:eastAsia="en-GB"/>
              </w:rPr>
              <w:t>Ed Rimmer, Chief Executive Officer</w:t>
            </w:r>
          </w:p>
        </w:tc>
        <w:tc>
          <w:tcPr>
            <w:tcW w:w="4096" w:type="dxa"/>
            <w:hideMark/>
          </w:tcPr>
          <w:p w14:paraId="4A4A2755" w14:textId="77777777" w:rsidR="00435E7C" w:rsidRPr="00D23557" w:rsidRDefault="00435E7C" w:rsidP="009202C6">
            <w:pPr>
              <w:keepLines/>
              <w:widowControl w:val="0"/>
              <w:autoSpaceDE w:val="0"/>
              <w:autoSpaceDN w:val="0"/>
              <w:adjustRightInd w:val="0"/>
              <w:spacing w:after="0" w:line="240" w:lineRule="auto"/>
              <w:ind w:left="142"/>
              <w:jc w:val="right"/>
              <w:rPr>
                <w:rFonts w:cstheme="minorHAnsi"/>
                <w:color w:val="000000"/>
                <w:lang w:val="en-US" w:eastAsia="en-GB"/>
              </w:rPr>
            </w:pPr>
            <w:r w:rsidRPr="00D23557">
              <w:rPr>
                <w:rFonts w:cstheme="minorHAnsi"/>
                <w:color w:val="000000"/>
                <w:lang w:val="en-US" w:eastAsia="en-GB"/>
              </w:rPr>
              <w:t xml:space="preserve">01225 474230 </w:t>
            </w:r>
          </w:p>
        </w:tc>
      </w:tr>
      <w:tr w:rsidR="00435E7C" w:rsidRPr="00D23557" w14:paraId="6AD138FC" w14:textId="77777777" w:rsidTr="009202C6">
        <w:trPr>
          <w:trHeight w:val="346"/>
        </w:trPr>
        <w:tc>
          <w:tcPr>
            <w:tcW w:w="5104" w:type="dxa"/>
            <w:hideMark/>
          </w:tcPr>
          <w:p w14:paraId="6EA6DFE3" w14:textId="77777777" w:rsidR="00435E7C" w:rsidRPr="00D23557" w:rsidRDefault="00435E7C" w:rsidP="009202C6">
            <w:pPr>
              <w:keepLines/>
              <w:widowControl w:val="0"/>
              <w:autoSpaceDE w:val="0"/>
              <w:autoSpaceDN w:val="0"/>
              <w:adjustRightInd w:val="0"/>
              <w:spacing w:after="0" w:line="240" w:lineRule="auto"/>
              <w:jc w:val="both"/>
              <w:rPr>
                <w:rFonts w:cstheme="minorHAnsi"/>
                <w:color w:val="000000"/>
                <w:lang w:val="en-US" w:eastAsia="en-GB"/>
              </w:rPr>
            </w:pPr>
            <w:r w:rsidRPr="00D23557">
              <w:rPr>
                <w:rFonts w:cstheme="minorHAnsi"/>
                <w:color w:val="000000"/>
                <w:lang w:val="en-US" w:eastAsia="en-GB"/>
              </w:rPr>
              <w:t>James Roberts, Chief Financial Officer</w:t>
            </w:r>
          </w:p>
        </w:tc>
        <w:tc>
          <w:tcPr>
            <w:tcW w:w="4096" w:type="dxa"/>
            <w:hideMark/>
          </w:tcPr>
          <w:p w14:paraId="12E809EB" w14:textId="77777777" w:rsidR="00435E7C" w:rsidRPr="00D23557" w:rsidRDefault="00435E7C" w:rsidP="009202C6">
            <w:pPr>
              <w:keepLines/>
              <w:widowControl w:val="0"/>
              <w:autoSpaceDE w:val="0"/>
              <w:autoSpaceDN w:val="0"/>
              <w:adjustRightInd w:val="0"/>
              <w:spacing w:after="0" w:line="240" w:lineRule="auto"/>
              <w:ind w:left="142"/>
              <w:jc w:val="right"/>
              <w:rPr>
                <w:rFonts w:cstheme="minorHAnsi"/>
                <w:color w:val="000000"/>
                <w:lang w:val="en-US" w:eastAsia="en-GB"/>
              </w:rPr>
            </w:pPr>
            <w:r w:rsidRPr="00D23557">
              <w:rPr>
                <w:rFonts w:cstheme="minorHAnsi"/>
                <w:color w:val="000000"/>
                <w:lang w:val="en-US" w:eastAsia="en-GB"/>
              </w:rPr>
              <w:t>01225 474230</w:t>
            </w:r>
          </w:p>
        </w:tc>
      </w:tr>
      <w:tr w:rsidR="00435E7C" w:rsidRPr="00D23557" w14:paraId="07DDEBA8" w14:textId="77777777" w:rsidTr="009202C6">
        <w:trPr>
          <w:trHeight w:val="60"/>
        </w:trPr>
        <w:tc>
          <w:tcPr>
            <w:tcW w:w="5104" w:type="dxa"/>
          </w:tcPr>
          <w:p w14:paraId="778419B9" w14:textId="77777777" w:rsidR="00435E7C" w:rsidRPr="00D23557" w:rsidRDefault="00435E7C" w:rsidP="009202C6">
            <w:pPr>
              <w:keepLines/>
              <w:widowControl w:val="0"/>
              <w:autoSpaceDE w:val="0"/>
              <w:autoSpaceDN w:val="0"/>
              <w:adjustRightInd w:val="0"/>
              <w:spacing w:after="0" w:line="240" w:lineRule="auto"/>
              <w:jc w:val="both"/>
              <w:rPr>
                <w:rFonts w:cstheme="minorHAnsi"/>
                <w:color w:val="000000"/>
                <w:lang w:val="en-US" w:eastAsia="en-GB"/>
              </w:rPr>
            </w:pPr>
          </w:p>
        </w:tc>
        <w:tc>
          <w:tcPr>
            <w:tcW w:w="4096" w:type="dxa"/>
          </w:tcPr>
          <w:p w14:paraId="21DBC9EA" w14:textId="77777777" w:rsidR="00435E7C" w:rsidRPr="00D23557" w:rsidRDefault="00435E7C" w:rsidP="009202C6">
            <w:pPr>
              <w:keepLines/>
              <w:widowControl w:val="0"/>
              <w:autoSpaceDE w:val="0"/>
              <w:autoSpaceDN w:val="0"/>
              <w:adjustRightInd w:val="0"/>
              <w:spacing w:after="0" w:line="240" w:lineRule="auto"/>
              <w:ind w:left="142"/>
              <w:jc w:val="right"/>
              <w:rPr>
                <w:rFonts w:cstheme="minorHAnsi"/>
                <w:color w:val="000000"/>
                <w:lang w:val="en-US" w:eastAsia="en-GB"/>
              </w:rPr>
            </w:pPr>
          </w:p>
        </w:tc>
      </w:tr>
      <w:tr w:rsidR="00435E7C" w:rsidRPr="00D23557" w14:paraId="040DE77D" w14:textId="77777777" w:rsidTr="009202C6">
        <w:trPr>
          <w:trHeight w:val="149"/>
        </w:trPr>
        <w:tc>
          <w:tcPr>
            <w:tcW w:w="5104" w:type="dxa"/>
            <w:hideMark/>
          </w:tcPr>
          <w:p w14:paraId="67A630BE" w14:textId="77777777" w:rsidR="00435E7C" w:rsidRPr="00D23557" w:rsidRDefault="00435E7C" w:rsidP="009202C6">
            <w:pPr>
              <w:keepLines/>
              <w:widowControl w:val="0"/>
              <w:autoSpaceDE w:val="0"/>
              <w:autoSpaceDN w:val="0"/>
              <w:adjustRightInd w:val="0"/>
              <w:spacing w:after="0" w:line="240" w:lineRule="auto"/>
              <w:jc w:val="both"/>
              <w:rPr>
                <w:rFonts w:cstheme="minorHAnsi"/>
                <w:b/>
                <w:bCs/>
                <w:color w:val="000000"/>
                <w:lang w:val="en-US" w:eastAsia="en-GB"/>
              </w:rPr>
            </w:pPr>
            <w:r>
              <w:rPr>
                <w:rFonts w:cstheme="minorHAnsi"/>
                <w:b/>
                <w:bCs/>
                <w:color w:val="000000"/>
                <w:lang w:val="en-US" w:eastAsia="en-GB"/>
              </w:rPr>
              <w:t>C</w:t>
            </w:r>
            <w:r>
              <w:rPr>
                <w:rFonts w:cstheme="minorHAnsi"/>
                <w:b/>
                <w:bCs/>
                <w:color w:val="000000"/>
                <w:lang w:val="en-US"/>
              </w:rPr>
              <w:t>avendish</w:t>
            </w:r>
            <w:r w:rsidRPr="00D23557">
              <w:rPr>
                <w:rFonts w:cstheme="minorHAnsi"/>
                <w:b/>
                <w:bCs/>
                <w:color w:val="000000"/>
                <w:lang w:val="en-US" w:eastAsia="en-GB"/>
              </w:rPr>
              <w:t xml:space="preserve"> Securities plc (NOMAD and Broker) </w:t>
            </w:r>
          </w:p>
        </w:tc>
        <w:tc>
          <w:tcPr>
            <w:tcW w:w="4096" w:type="dxa"/>
          </w:tcPr>
          <w:p w14:paraId="6DA8E960" w14:textId="77777777" w:rsidR="00435E7C" w:rsidRPr="00D23557" w:rsidRDefault="00435E7C" w:rsidP="009202C6">
            <w:pPr>
              <w:keepLines/>
              <w:widowControl w:val="0"/>
              <w:autoSpaceDE w:val="0"/>
              <w:autoSpaceDN w:val="0"/>
              <w:adjustRightInd w:val="0"/>
              <w:spacing w:after="0" w:line="240" w:lineRule="auto"/>
              <w:ind w:left="142"/>
              <w:jc w:val="right"/>
              <w:rPr>
                <w:rFonts w:cstheme="minorHAnsi"/>
                <w:color w:val="000000"/>
                <w:lang w:val="en-US" w:eastAsia="en-GB"/>
              </w:rPr>
            </w:pPr>
            <w:r w:rsidRPr="00D23557">
              <w:rPr>
                <w:rFonts w:cstheme="minorHAnsi"/>
                <w:color w:val="000000"/>
                <w:lang w:val="en-US" w:eastAsia="en-GB"/>
              </w:rPr>
              <w:t xml:space="preserve">0207 </w:t>
            </w:r>
            <w:r>
              <w:rPr>
                <w:rFonts w:cstheme="minorHAnsi"/>
                <w:color w:val="000000"/>
                <w:lang w:val="en-US" w:eastAsia="en-GB"/>
              </w:rPr>
              <w:t>2</w:t>
            </w:r>
            <w:r>
              <w:rPr>
                <w:rFonts w:cstheme="minorHAnsi"/>
                <w:color w:val="000000"/>
                <w:lang w:val="en-US"/>
              </w:rPr>
              <w:t>20 0500</w:t>
            </w:r>
          </w:p>
        </w:tc>
      </w:tr>
      <w:tr w:rsidR="00435E7C" w:rsidRPr="00D23557" w14:paraId="3E3AFD83" w14:textId="77777777" w:rsidTr="009202C6">
        <w:trPr>
          <w:trHeight w:val="346"/>
        </w:trPr>
        <w:tc>
          <w:tcPr>
            <w:tcW w:w="5104" w:type="dxa"/>
            <w:hideMark/>
          </w:tcPr>
          <w:p w14:paraId="24765132" w14:textId="77777777" w:rsidR="00435E7C" w:rsidRPr="00D23557" w:rsidRDefault="00435E7C" w:rsidP="009202C6">
            <w:pPr>
              <w:keepLines/>
              <w:widowControl w:val="0"/>
              <w:autoSpaceDE w:val="0"/>
              <w:autoSpaceDN w:val="0"/>
              <w:adjustRightInd w:val="0"/>
              <w:spacing w:after="0" w:line="240" w:lineRule="auto"/>
              <w:jc w:val="both"/>
              <w:rPr>
                <w:rFonts w:cstheme="minorHAnsi"/>
                <w:color w:val="000000"/>
                <w:lang w:val="en-US" w:eastAsia="en-GB"/>
              </w:rPr>
            </w:pPr>
            <w:r w:rsidRPr="00D23557">
              <w:rPr>
                <w:rFonts w:cstheme="minorHAnsi"/>
                <w:lang w:val="en-US" w:eastAsia="en-GB"/>
              </w:rPr>
              <w:t xml:space="preserve">Ben Jeynes / </w:t>
            </w:r>
            <w:r>
              <w:rPr>
                <w:rFonts w:cstheme="minorHAnsi"/>
                <w:lang w:val="en-US" w:eastAsia="en-GB"/>
              </w:rPr>
              <w:t>Charlie Combe (</w:t>
            </w:r>
            <w:r w:rsidRPr="00D23557">
              <w:rPr>
                <w:rFonts w:cstheme="minorHAnsi"/>
                <w:lang w:val="en-US" w:eastAsia="en-GB"/>
              </w:rPr>
              <w:t>Corporate Finance)</w:t>
            </w:r>
          </w:p>
          <w:p w14:paraId="6A15BA23" w14:textId="77777777" w:rsidR="00435E7C" w:rsidRPr="00D23557" w:rsidRDefault="00435E7C" w:rsidP="009202C6">
            <w:pPr>
              <w:keepLines/>
              <w:widowControl w:val="0"/>
              <w:autoSpaceDE w:val="0"/>
              <w:autoSpaceDN w:val="0"/>
              <w:adjustRightInd w:val="0"/>
              <w:spacing w:after="0" w:line="240" w:lineRule="auto"/>
              <w:jc w:val="both"/>
              <w:rPr>
                <w:rFonts w:cstheme="minorHAnsi"/>
                <w:color w:val="000000"/>
                <w:lang w:val="en-US" w:eastAsia="en-GB"/>
              </w:rPr>
            </w:pPr>
            <w:r>
              <w:rPr>
                <w:rFonts w:cstheme="minorHAnsi"/>
                <w:color w:val="000000"/>
                <w:lang w:val="en-US" w:eastAsia="en-GB"/>
              </w:rPr>
              <w:t xml:space="preserve">Michael Johnson / George Budd </w:t>
            </w:r>
            <w:r w:rsidRPr="00D23557">
              <w:rPr>
                <w:rFonts w:cstheme="minorHAnsi"/>
                <w:color w:val="000000"/>
                <w:lang w:val="en-US" w:eastAsia="en-GB"/>
              </w:rPr>
              <w:t xml:space="preserve">(Sales) </w:t>
            </w:r>
          </w:p>
        </w:tc>
        <w:tc>
          <w:tcPr>
            <w:tcW w:w="4096" w:type="dxa"/>
            <w:hideMark/>
          </w:tcPr>
          <w:p w14:paraId="5E92BBC9" w14:textId="77777777" w:rsidR="00435E7C" w:rsidRPr="00D23557" w:rsidRDefault="00435E7C" w:rsidP="009202C6">
            <w:pPr>
              <w:keepLines/>
              <w:widowControl w:val="0"/>
              <w:autoSpaceDE w:val="0"/>
              <w:autoSpaceDN w:val="0"/>
              <w:adjustRightInd w:val="0"/>
              <w:spacing w:after="0" w:line="240" w:lineRule="auto"/>
              <w:ind w:left="142"/>
              <w:jc w:val="right"/>
              <w:rPr>
                <w:rFonts w:cstheme="minorHAnsi"/>
                <w:color w:val="000000"/>
                <w:lang w:val="en-US" w:eastAsia="en-GB"/>
              </w:rPr>
            </w:pPr>
          </w:p>
        </w:tc>
      </w:tr>
      <w:tr w:rsidR="00435E7C" w:rsidRPr="00D23557" w14:paraId="35F22DA6" w14:textId="77777777" w:rsidTr="009202C6">
        <w:trPr>
          <w:trHeight w:val="346"/>
        </w:trPr>
        <w:tc>
          <w:tcPr>
            <w:tcW w:w="5104" w:type="dxa"/>
          </w:tcPr>
          <w:p w14:paraId="781C6F37" w14:textId="77777777" w:rsidR="00435E7C" w:rsidRPr="00D23557" w:rsidRDefault="00435E7C" w:rsidP="009202C6">
            <w:pPr>
              <w:keepLines/>
              <w:widowControl w:val="0"/>
              <w:autoSpaceDE w:val="0"/>
              <w:autoSpaceDN w:val="0"/>
              <w:adjustRightInd w:val="0"/>
              <w:spacing w:after="0" w:line="240" w:lineRule="auto"/>
              <w:ind w:left="142"/>
              <w:jc w:val="both"/>
              <w:rPr>
                <w:rFonts w:cstheme="minorHAnsi"/>
                <w:color w:val="000000"/>
                <w:lang w:val="en-US" w:eastAsia="en-GB"/>
              </w:rPr>
            </w:pPr>
          </w:p>
        </w:tc>
        <w:tc>
          <w:tcPr>
            <w:tcW w:w="4096" w:type="dxa"/>
          </w:tcPr>
          <w:p w14:paraId="75E38F02" w14:textId="77777777" w:rsidR="00435E7C" w:rsidRPr="00D23557" w:rsidRDefault="00435E7C" w:rsidP="009202C6">
            <w:pPr>
              <w:keepLines/>
              <w:widowControl w:val="0"/>
              <w:autoSpaceDE w:val="0"/>
              <w:autoSpaceDN w:val="0"/>
              <w:adjustRightInd w:val="0"/>
              <w:spacing w:after="0" w:line="240" w:lineRule="auto"/>
              <w:ind w:left="142"/>
              <w:jc w:val="right"/>
              <w:rPr>
                <w:rFonts w:cstheme="minorHAnsi"/>
                <w:color w:val="000000"/>
                <w:lang w:val="en-US" w:eastAsia="en-GB"/>
              </w:rPr>
            </w:pPr>
          </w:p>
        </w:tc>
      </w:tr>
      <w:tr w:rsidR="00435E7C" w:rsidRPr="00D23557" w14:paraId="488E63AA" w14:textId="77777777" w:rsidTr="009202C6">
        <w:trPr>
          <w:trHeight w:val="66"/>
        </w:trPr>
        <w:tc>
          <w:tcPr>
            <w:tcW w:w="5104" w:type="dxa"/>
            <w:hideMark/>
          </w:tcPr>
          <w:p w14:paraId="26CDFEC4" w14:textId="77777777" w:rsidR="00435E7C" w:rsidRPr="00D23557" w:rsidRDefault="00435E7C" w:rsidP="009202C6">
            <w:pPr>
              <w:keepLines/>
              <w:widowControl w:val="0"/>
              <w:autoSpaceDE w:val="0"/>
              <w:autoSpaceDN w:val="0"/>
              <w:adjustRightInd w:val="0"/>
              <w:spacing w:after="0" w:line="240" w:lineRule="auto"/>
              <w:jc w:val="both"/>
              <w:rPr>
                <w:rFonts w:cstheme="minorHAnsi"/>
                <w:b/>
                <w:bCs/>
                <w:color w:val="000000"/>
                <w:lang w:val="en-US" w:eastAsia="en-GB"/>
              </w:rPr>
            </w:pPr>
            <w:proofErr w:type="spellStart"/>
            <w:r w:rsidRPr="00D23557">
              <w:rPr>
                <w:rFonts w:cstheme="minorHAnsi"/>
                <w:b/>
                <w:bCs/>
                <w:color w:val="000000"/>
                <w:lang w:val="en-US" w:eastAsia="en-GB"/>
              </w:rPr>
              <w:t>Walbrook</w:t>
            </w:r>
            <w:proofErr w:type="spellEnd"/>
            <w:r w:rsidRPr="00D23557">
              <w:rPr>
                <w:rFonts w:cstheme="minorHAnsi"/>
                <w:b/>
                <w:bCs/>
                <w:color w:val="000000"/>
                <w:lang w:val="en-US" w:eastAsia="en-GB"/>
              </w:rPr>
              <w:t xml:space="preserve"> PR</w:t>
            </w:r>
          </w:p>
        </w:tc>
        <w:tc>
          <w:tcPr>
            <w:tcW w:w="4096" w:type="dxa"/>
            <w:hideMark/>
          </w:tcPr>
          <w:p w14:paraId="47B3674A" w14:textId="77777777" w:rsidR="00435E7C" w:rsidRPr="00D23557" w:rsidRDefault="00435E7C" w:rsidP="009202C6">
            <w:pPr>
              <w:keepLines/>
              <w:widowControl w:val="0"/>
              <w:autoSpaceDE w:val="0"/>
              <w:autoSpaceDN w:val="0"/>
              <w:adjustRightInd w:val="0"/>
              <w:spacing w:after="0" w:line="240" w:lineRule="auto"/>
              <w:ind w:left="142"/>
              <w:jc w:val="right"/>
              <w:rPr>
                <w:rFonts w:cstheme="minorHAnsi"/>
                <w:color w:val="000000"/>
                <w:lang w:val="en-US" w:eastAsia="en-GB"/>
              </w:rPr>
            </w:pPr>
            <w:r w:rsidRPr="00D23557">
              <w:rPr>
                <w:rFonts w:cstheme="minorHAnsi"/>
                <w:color w:val="000000"/>
                <w:lang w:val="en-US" w:eastAsia="en-GB"/>
              </w:rPr>
              <w:t>0207 933 8780</w:t>
            </w:r>
          </w:p>
        </w:tc>
      </w:tr>
      <w:tr w:rsidR="00435E7C" w:rsidRPr="00D23557" w14:paraId="1BB1C3B6" w14:textId="77777777" w:rsidTr="009202C6">
        <w:trPr>
          <w:trHeight w:val="201"/>
        </w:trPr>
        <w:tc>
          <w:tcPr>
            <w:tcW w:w="5104" w:type="dxa"/>
            <w:hideMark/>
          </w:tcPr>
          <w:p w14:paraId="19924C2C" w14:textId="77777777" w:rsidR="00435E7C" w:rsidRPr="00D23557" w:rsidRDefault="00435E7C" w:rsidP="009202C6">
            <w:pPr>
              <w:keepLines/>
              <w:widowControl w:val="0"/>
              <w:autoSpaceDE w:val="0"/>
              <w:autoSpaceDN w:val="0"/>
              <w:adjustRightInd w:val="0"/>
              <w:spacing w:after="0" w:line="240" w:lineRule="auto"/>
              <w:jc w:val="both"/>
              <w:rPr>
                <w:rFonts w:cstheme="minorHAnsi"/>
                <w:color w:val="000000"/>
                <w:lang w:val="en-US" w:eastAsia="en-GB"/>
              </w:rPr>
            </w:pPr>
            <w:r w:rsidRPr="00D23557">
              <w:rPr>
                <w:rFonts w:cstheme="minorHAnsi"/>
                <w:color w:val="000000"/>
                <w:lang w:val="en-US" w:eastAsia="en-GB"/>
              </w:rPr>
              <w:t xml:space="preserve">Paul Vann / </w:t>
            </w:r>
            <w:r>
              <w:rPr>
                <w:rFonts w:cstheme="minorHAnsi"/>
                <w:color w:val="000000"/>
                <w:lang w:val="en-US" w:eastAsia="en-GB"/>
              </w:rPr>
              <w:t>Joe Walker</w:t>
            </w:r>
          </w:p>
        </w:tc>
        <w:tc>
          <w:tcPr>
            <w:tcW w:w="4096" w:type="dxa"/>
            <w:hideMark/>
          </w:tcPr>
          <w:p w14:paraId="1C80FE8A" w14:textId="77777777" w:rsidR="00435E7C" w:rsidRPr="00D23557" w:rsidRDefault="00435E7C" w:rsidP="009202C6">
            <w:pPr>
              <w:keepLines/>
              <w:widowControl w:val="0"/>
              <w:autoSpaceDE w:val="0"/>
              <w:autoSpaceDN w:val="0"/>
              <w:adjustRightInd w:val="0"/>
              <w:spacing w:after="0" w:line="240" w:lineRule="auto"/>
              <w:ind w:left="142"/>
              <w:jc w:val="right"/>
              <w:rPr>
                <w:rFonts w:cstheme="minorHAnsi"/>
                <w:color w:val="000000"/>
                <w:lang w:val="en-US" w:eastAsia="en-GB"/>
              </w:rPr>
            </w:pPr>
            <w:r w:rsidRPr="00D23557">
              <w:rPr>
                <w:rFonts w:cstheme="minorHAnsi"/>
                <w:color w:val="000000"/>
                <w:lang w:val="en-US" w:eastAsia="en-GB"/>
              </w:rPr>
              <w:t>07768 807631</w:t>
            </w:r>
          </w:p>
        </w:tc>
      </w:tr>
      <w:tr w:rsidR="00435E7C" w:rsidRPr="00D23557" w14:paraId="75F4DDAE" w14:textId="77777777" w:rsidTr="009202C6">
        <w:trPr>
          <w:trHeight w:val="346"/>
        </w:trPr>
        <w:tc>
          <w:tcPr>
            <w:tcW w:w="5104" w:type="dxa"/>
          </w:tcPr>
          <w:p w14:paraId="0DADCCDA" w14:textId="77777777" w:rsidR="00435E7C" w:rsidRPr="00D23557" w:rsidRDefault="00435E7C" w:rsidP="009202C6">
            <w:pPr>
              <w:keepLines/>
              <w:widowControl w:val="0"/>
              <w:autoSpaceDE w:val="0"/>
              <w:autoSpaceDN w:val="0"/>
              <w:adjustRightInd w:val="0"/>
              <w:spacing w:after="0" w:line="240" w:lineRule="auto"/>
              <w:ind w:left="142"/>
              <w:jc w:val="both"/>
              <w:rPr>
                <w:rFonts w:cstheme="minorHAnsi"/>
                <w:color w:val="000000"/>
                <w:lang w:val="en-US" w:eastAsia="en-GB"/>
              </w:rPr>
            </w:pPr>
          </w:p>
        </w:tc>
        <w:tc>
          <w:tcPr>
            <w:tcW w:w="4096" w:type="dxa"/>
            <w:hideMark/>
          </w:tcPr>
          <w:p w14:paraId="5F986F5B" w14:textId="77777777" w:rsidR="00435E7C" w:rsidRPr="00D23557" w:rsidRDefault="00435E7C" w:rsidP="009202C6">
            <w:pPr>
              <w:keepLines/>
              <w:widowControl w:val="0"/>
              <w:autoSpaceDE w:val="0"/>
              <w:autoSpaceDN w:val="0"/>
              <w:adjustRightInd w:val="0"/>
              <w:spacing w:after="0" w:line="240" w:lineRule="auto"/>
              <w:ind w:left="142"/>
              <w:jc w:val="right"/>
              <w:rPr>
                <w:rStyle w:val="ag"/>
                <w:rFonts w:cstheme="minorHAnsi"/>
                <w:bCs/>
              </w:rPr>
            </w:pPr>
            <w:r w:rsidRPr="00D23557">
              <w:rPr>
                <w:rStyle w:val="ag"/>
                <w:rFonts w:cstheme="minorHAnsi"/>
                <w:bCs/>
                <w:color w:val="000000"/>
                <w:lang w:eastAsia="en-GB"/>
              </w:rPr>
              <w:t>Timefinance@walbrookpr.com</w:t>
            </w:r>
            <w:r w:rsidRPr="00D23557">
              <w:rPr>
                <w:rStyle w:val="ag"/>
                <w:rFonts w:cstheme="minorHAnsi"/>
                <w:bCs/>
              </w:rPr>
              <w:t xml:space="preserve"> </w:t>
            </w:r>
          </w:p>
        </w:tc>
      </w:tr>
    </w:tbl>
    <w:p w14:paraId="4DE9646E" w14:textId="77777777" w:rsidR="00435E7C" w:rsidRDefault="00435E7C" w:rsidP="00435E7C">
      <w:pPr>
        <w:spacing w:after="0" w:line="240" w:lineRule="auto"/>
        <w:jc w:val="both"/>
        <w:rPr>
          <w:rFonts w:cstheme="minorHAnsi"/>
          <w:b/>
          <w:sz w:val="21"/>
          <w:szCs w:val="21"/>
        </w:rPr>
      </w:pPr>
    </w:p>
    <w:p w14:paraId="0DBEB27F" w14:textId="77777777" w:rsidR="00435E7C" w:rsidRPr="00901E18" w:rsidRDefault="00435E7C" w:rsidP="00435E7C">
      <w:pPr>
        <w:spacing w:after="0" w:line="240" w:lineRule="auto"/>
        <w:jc w:val="both"/>
        <w:rPr>
          <w:rFonts w:cstheme="minorHAnsi"/>
          <w:b/>
          <w:sz w:val="21"/>
          <w:szCs w:val="21"/>
        </w:rPr>
      </w:pPr>
      <w:r w:rsidRPr="00901E18">
        <w:rPr>
          <w:rFonts w:cstheme="minorHAnsi"/>
          <w:b/>
          <w:sz w:val="21"/>
          <w:szCs w:val="21"/>
        </w:rPr>
        <w:t xml:space="preserve">About Time Finance: </w:t>
      </w:r>
    </w:p>
    <w:p w14:paraId="67D26024" w14:textId="77777777" w:rsidR="00435E7C" w:rsidRPr="00970E6F" w:rsidRDefault="00435E7C" w:rsidP="00435E7C">
      <w:pPr>
        <w:jc w:val="both"/>
        <w:rPr>
          <w:rStyle w:val="ag"/>
          <w:rFonts w:cstheme="minorHAnsi"/>
          <w:bCs/>
          <w:color w:val="000000"/>
          <w:lang w:eastAsia="en-GB"/>
        </w:rPr>
      </w:pPr>
      <w:r w:rsidRPr="00970E6F">
        <w:rPr>
          <w:rStyle w:val="ag"/>
          <w:rFonts w:cstheme="minorHAnsi"/>
          <w:bCs/>
          <w:color w:val="000000"/>
          <w:lang w:eastAsia="en-GB"/>
        </w:rPr>
        <w:t>Time Finance’s core strategy is to focus on providing the finance UK SMEs require to fund their businesses. It offers a multi-product range for SMEs including asset, loan</w:t>
      </w:r>
      <w:r>
        <w:rPr>
          <w:rStyle w:val="ag"/>
          <w:rFonts w:cstheme="minorHAnsi"/>
          <w:bCs/>
          <w:color w:val="000000"/>
          <w:lang w:eastAsia="en-GB"/>
        </w:rPr>
        <w:t>,</w:t>
      </w:r>
      <w:r w:rsidRPr="00970E6F">
        <w:rPr>
          <w:rStyle w:val="ag"/>
          <w:rFonts w:cstheme="minorHAnsi"/>
          <w:bCs/>
          <w:color w:val="000000"/>
          <w:lang w:eastAsia="en-GB"/>
        </w:rPr>
        <w:t xml:space="preserve"> invoice</w:t>
      </w:r>
      <w:r>
        <w:rPr>
          <w:rStyle w:val="ag"/>
          <w:rFonts w:cstheme="minorHAnsi"/>
          <w:bCs/>
          <w:color w:val="000000"/>
          <w:lang w:eastAsia="en-GB"/>
        </w:rPr>
        <w:t xml:space="preserve"> and vehicle finance.</w:t>
      </w:r>
      <w:r w:rsidRPr="00970E6F">
        <w:rPr>
          <w:rStyle w:val="ag"/>
          <w:rFonts w:cstheme="minorHAnsi"/>
          <w:bCs/>
          <w:color w:val="000000"/>
          <w:lang w:eastAsia="en-GB"/>
        </w:rPr>
        <w:t xml:space="preserve"> While primarily an ‘own-book’ lender the Group does operates a </w:t>
      </w:r>
      <w:r>
        <w:rPr>
          <w:rStyle w:val="ag"/>
          <w:rFonts w:cstheme="minorHAnsi"/>
          <w:bCs/>
          <w:color w:val="000000"/>
          <w:lang w:eastAsia="en-GB"/>
        </w:rPr>
        <w:t>‘</w:t>
      </w:r>
      <w:r w:rsidRPr="00970E6F">
        <w:rPr>
          <w:rStyle w:val="ag"/>
          <w:rFonts w:cstheme="minorHAnsi"/>
          <w:bCs/>
          <w:color w:val="000000"/>
          <w:lang w:eastAsia="en-GB"/>
        </w:rPr>
        <w:t>hybrid</w:t>
      </w:r>
      <w:r>
        <w:rPr>
          <w:rStyle w:val="ag"/>
          <w:rFonts w:cstheme="minorHAnsi"/>
          <w:bCs/>
          <w:color w:val="000000"/>
          <w:lang w:eastAsia="en-GB"/>
        </w:rPr>
        <w:t>’</w:t>
      </w:r>
      <w:r w:rsidRPr="00970E6F">
        <w:rPr>
          <w:rStyle w:val="ag"/>
          <w:rFonts w:cstheme="minorHAnsi"/>
          <w:bCs/>
          <w:color w:val="000000"/>
          <w:lang w:eastAsia="en-GB"/>
        </w:rPr>
        <w:t xml:space="preserve"> lending and broking model enabling it to optimize business levels through market and economic cycles.</w:t>
      </w:r>
    </w:p>
    <w:p w14:paraId="0CBF3327" w14:textId="77777777" w:rsidR="00435E7C" w:rsidRPr="009C4E5B" w:rsidRDefault="00435E7C" w:rsidP="00435E7C">
      <w:pPr>
        <w:spacing w:after="0" w:line="240" w:lineRule="auto"/>
        <w:jc w:val="both"/>
        <w:rPr>
          <w:rStyle w:val="ag"/>
          <w:color w:val="000000"/>
          <w:lang w:eastAsia="en-GB"/>
        </w:rPr>
      </w:pPr>
    </w:p>
    <w:p w14:paraId="76A76B73" w14:textId="1E1A0C21" w:rsidR="00435E7C" w:rsidRDefault="00435E7C" w:rsidP="00435E7C">
      <w:pPr>
        <w:spacing w:after="0" w:line="240" w:lineRule="auto"/>
        <w:rPr>
          <w:rFonts w:cs="Calibri"/>
          <w:bCs/>
          <w:color w:val="000000"/>
          <w:sz w:val="21"/>
          <w:szCs w:val="21"/>
          <w:lang w:eastAsia="en-GB"/>
        </w:rPr>
      </w:pPr>
      <w:r w:rsidRPr="009C4E5B">
        <w:rPr>
          <w:rStyle w:val="ag"/>
          <w:bCs/>
          <w:color w:val="000000"/>
          <w:lang w:eastAsia="en-GB"/>
        </w:rPr>
        <w:t xml:space="preserve">More information is available on the Company website </w:t>
      </w:r>
      <w:hyperlink r:id="rId14" w:history="1">
        <w:r w:rsidRPr="009C4E5B">
          <w:rPr>
            <w:rStyle w:val="ag"/>
            <w:bCs/>
            <w:color w:val="4472C4" w:themeColor="accent1"/>
            <w:u w:val="single"/>
            <w:lang w:eastAsia="en-GB"/>
          </w:rPr>
          <w:t>www.timefinance.com</w:t>
        </w:r>
      </w:hyperlink>
      <w:r w:rsidRPr="009C4E5B">
        <w:rPr>
          <w:rStyle w:val="ag"/>
          <w:bCs/>
          <w:color w:val="000000"/>
          <w:lang w:eastAsia="en-GB"/>
        </w:rPr>
        <w:t>.</w:t>
      </w:r>
    </w:p>
    <w:p w14:paraId="5C83F5F1" w14:textId="69970DC7" w:rsidR="00435E7C" w:rsidRDefault="00435E7C" w:rsidP="00435E7C">
      <w:pPr>
        <w:rPr>
          <w:rFonts w:cs="Calibri"/>
          <w:bCs/>
          <w:color w:val="000000"/>
          <w:sz w:val="21"/>
          <w:szCs w:val="21"/>
          <w:lang w:eastAsia="en-GB"/>
        </w:rPr>
      </w:pPr>
      <w:r>
        <w:rPr>
          <w:rFonts w:cs="Calibri"/>
          <w:bCs/>
          <w:color w:val="000000"/>
          <w:sz w:val="21"/>
          <w:szCs w:val="21"/>
          <w:lang w:eastAsia="en-GB"/>
        </w:rPr>
        <w:br w:type="page"/>
      </w:r>
    </w:p>
    <w:p w14:paraId="3994C66F" w14:textId="466D5127" w:rsidR="004C04CA" w:rsidRDefault="004C04CA" w:rsidP="00AA102E">
      <w:pPr>
        <w:tabs>
          <w:tab w:val="left" w:pos="0"/>
        </w:tabs>
        <w:spacing w:after="0" w:line="240" w:lineRule="auto"/>
        <w:ind w:right="-23"/>
        <w:jc w:val="both"/>
        <w:rPr>
          <w:rFonts w:cstheme="minorHAnsi"/>
          <w:b/>
          <w:bCs/>
        </w:rPr>
      </w:pPr>
      <w:r w:rsidRPr="00146646">
        <w:rPr>
          <w:rFonts w:cstheme="minorHAnsi"/>
          <w:b/>
          <w:bCs/>
        </w:rPr>
        <w:lastRenderedPageBreak/>
        <w:t>Chair's Report</w:t>
      </w:r>
    </w:p>
    <w:p w14:paraId="27163F34" w14:textId="512476D6" w:rsidR="00146646" w:rsidRPr="00146646" w:rsidRDefault="00146646" w:rsidP="00AA102E">
      <w:pPr>
        <w:tabs>
          <w:tab w:val="left" w:pos="0"/>
        </w:tabs>
        <w:spacing w:after="0" w:line="240" w:lineRule="auto"/>
        <w:ind w:right="-23"/>
        <w:jc w:val="both"/>
        <w:rPr>
          <w:rFonts w:cstheme="minorHAnsi"/>
          <w:b/>
          <w:bCs/>
        </w:rPr>
      </w:pPr>
      <w:r>
        <w:rPr>
          <w:rFonts w:cstheme="minorHAnsi"/>
          <w:b/>
          <w:bCs/>
        </w:rPr>
        <w:t>For the year ended 31 May 202</w:t>
      </w:r>
      <w:r w:rsidR="003D68FC">
        <w:rPr>
          <w:rFonts w:cstheme="minorHAnsi"/>
          <w:b/>
          <w:bCs/>
        </w:rPr>
        <w:t>3</w:t>
      </w:r>
    </w:p>
    <w:p w14:paraId="430A4DD7" w14:textId="77777777" w:rsidR="00101C6F" w:rsidRDefault="00101C6F" w:rsidP="00444B9E">
      <w:pPr>
        <w:tabs>
          <w:tab w:val="left" w:pos="0"/>
          <w:tab w:val="left" w:pos="793"/>
        </w:tabs>
        <w:spacing w:after="0" w:line="240" w:lineRule="auto"/>
        <w:ind w:right="-23"/>
        <w:jc w:val="both"/>
      </w:pPr>
    </w:p>
    <w:p w14:paraId="4BF7E21E" w14:textId="77777777" w:rsidR="00101C6F" w:rsidRPr="00101C6F" w:rsidRDefault="00101C6F" w:rsidP="00101C6F">
      <w:pPr>
        <w:tabs>
          <w:tab w:val="left" w:pos="0"/>
          <w:tab w:val="left" w:pos="793"/>
        </w:tabs>
        <w:spacing w:after="0" w:line="240" w:lineRule="auto"/>
        <w:ind w:right="-23"/>
        <w:jc w:val="both"/>
        <w:rPr>
          <w:b/>
        </w:rPr>
      </w:pPr>
      <w:r w:rsidRPr="00101C6F">
        <w:rPr>
          <w:b/>
        </w:rPr>
        <w:t>Performance and dividend</w:t>
      </w:r>
    </w:p>
    <w:p w14:paraId="7FAA786E" w14:textId="77777777" w:rsidR="00101C6F" w:rsidRPr="00101C6F" w:rsidRDefault="00101C6F" w:rsidP="00101C6F">
      <w:pPr>
        <w:tabs>
          <w:tab w:val="left" w:pos="0"/>
          <w:tab w:val="left" w:pos="793"/>
        </w:tabs>
        <w:spacing w:after="0" w:line="240" w:lineRule="auto"/>
        <w:ind w:right="-23"/>
        <w:jc w:val="both"/>
      </w:pPr>
      <w:r w:rsidRPr="00101C6F">
        <w:t>This was another year where the macroeconomic backdrop remained significantly challenging. The war in Ukraine and global supply chain issues persisted. In the UK, the various changes in government during September and October 2022 created political and economic turmoil. The steep rise in energy and commodity prices, combined with wage rise pressures in a tight UK labour market, resulted in a high inflation economy and the Bank of England responded with sharp interest rate rises. The combined effect has been a cost-of-living crisis that looks set to continue for some time to come.</w:t>
      </w:r>
    </w:p>
    <w:p w14:paraId="49DB0481" w14:textId="77777777" w:rsidR="00101C6F" w:rsidRPr="00101C6F" w:rsidRDefault="00101C6F" w:rsidP="00101C6F">
      <w:pPr>
        <w:tabs>
          <w:tab w:val="left" w:pos="0"/>
          <w:tab w:val="left" w:pos="793"/>
        </w:tabs>
        <w:spacing w:after="0" w:line="240" w:lineRule="auto"/>
        <w:ind w:right="-23"/>
        <w:jc w:val="both"/>
      </w:pPr>
    </w:p>
    <w:p w14:paraId="72489C1B" w14:textId="77777777" w:rsidR="00101C6F" w:rsidRPr="00101C6F" w:rsidRDefault="00101C6F" w:rsidP="00101C6F">
      <w:pPr>
        <w:tabs>
          <w:tab w:val="left" w:pos="0"/>
          <w:tab w:val="left" w:pos="793"/>
        </w:tabs>
        <w:spacing w:after="0" w:line="240" w:lineRule="auto"/>
        <w:ind w:right="-23"/>
        <w:jc w:val="both"/>
      </w:pPr>
      <w:r w:rsidRPr="00101C6F">
        <w:t>While these economic headwinds present very real challenges for UK businesses, we remain focused on continuing to provide an essential lifeline of working capital to our SME customers, alongside growth enabling investment for those customers who are finding opportunity in these disrupted markets. Our Purpose is to “</w:t>
      </w:r>
      <w:r w:rsidRPr="00101C6F">
        <w:rPr>
          <w:i/>
          <w:iCs/>
        </w:rPr>
        <w:t>help UK businesses to thrive and survive</w:t>
      </w:r>
      <w:r w:rsidRPr="00101C6F">
        <w:t xml:space="preserve">” and is at the centre of everything we do, underpinning our aspiration to support the needs and ambitions of UK businesses. </w:t>
      </w:r>
    </w:p>
    <w:p w14:paraId="6699B071" w14:textId="77777777" w:rsidR="00101C6F" w:rsidRPr="00101C6F" w:rsidRDefault="00101C6F" w:rsidP="00101C6F">
      <w:pPr>
        <w:tabs>
          <w:tab w:val="left" w:pos="0"/>
          <w:tab w:val="left" w:pos="793"/>
        </w:tabs>
        <w:spacing w:after="0" w:line="240" w:lineRule="auto"/>
        <w:ind w:right="-23"/>
        <w:jc w:val="both"/>
      </w:pPr>
    </w:p>
    <w:p w14:paraId="3112C9FA" w14:textId="77777777" w:rsidR="00101C6F" w:rsidRPr="00101C6F" w:rsidRDefault="00101C6F" w:rsidP="00101C6F">
      <w:pPr>
        <w:tabs>
          <w:tab w:val="left" w:pos="0"/>
          <w:tab w:val="left" w:pos="793"/>
        </w:tabs>
        <w:spacing w:after="0" w:line="240" w:lineRule="auto"/>
        <w:ind w:right="-23"/>
        <w:jc w:val="both"/>
      </w:pPr>
      <w:r w:rsidRPr="00101C6F">
        <w:t>This financial year concluded the second full year of our four-year strategy, and it is very pleasing to report Revenue of £27.6m (2022: £23.6m) with Profit Before Tax of £4.2m (2022: £1.1m). Fully diluted Earnings Per Share were 3.73p (2022: 1.00p). Our balance sheet was further strengthened during the year with Net Tangible Assets rising to £34.2m (2022: £30.5m). At the same time, net deal arrears remained relatively consistent at 6% of the gross exposure (2022: 7%), demonstrating the continued effectiveness of our credit risk policy, which seeks to appropriately balance the needs of both our customers and our business.</w:t>
      </w:r>
    </w:p>
    <w:p w14:paraId="38DB3704" w14:textId="77777777" w:rsidR="00101C6F" w:rsidRPr="00101C6F" w:rsidRDefault="00101C6F" w:rsidP="00101C6F">
      <w:pPr>
        <w:tabs>
          <w:tab w:val="left" w:pos="0"/>
          <w:tab w:val="left" w:pos="793"/>
        </w:tabs>
        <w:spacing w:after="0" w:line="240" w:lineRule="auto"/>
        <w:ind w:right="-23"/>
        <w:jc w:val="both"/>
      </w:pPr>
    </w:p>
    <w:p w14:paraId="4CDA5AF6" w14:textId="77777777" w:rsidR="00101C6F" w:rsidRPr="00101C6F" w:rsidRDefault="00101C6F" w:rsidP="00101C6F">
      <w:pPr>
        <w:tabs>
          <w:tab w:val="left" w:pos="0"/>
          <w:tab w:val="left" w:pos="793"/>
        </w:tabs>
        <w:spacing w:after="0" w:line="240" w:lineRule="auto"/>
        <w:ind w:right="-23"/>
        <w:jc w:val="both"/>
      </w:pPr>
      <w:r w:rsidRPr="00101C6F">
        <w:t>Our business strategy continues to pursue aggressive growth targets for own book lending. This requires application of our available cash resources into leveraging our funding facilities to maximum effect. Our lending objectives remain focussed on the growth of shareholder value rather than dividend distribution. Hence, we continue to view cash resources as being best deployed to support business growth and, for the time being, not used for dividend payments. This will be kept under review.</w:t>
      </w:r>
    </w:p>
    <w:p w14:paraId="6FE06648" w14:textId="77777777" w:rsidR="00101C6F" w:rsidRPr="00101C6F" w:rsidRDefault="00101C6F" w:rsidP="00101C6F">
      <w:pPr>
        <w:tabs>
          <w:tab w:val="left" w:pos="0"/>
          <w:tab w:val="left" w:pos="793"/>
        </w:tabs>
        <w:spacing w:after="0" w:line="240" w:lineRule="auto"/>
        <w:ind w:right="-23"/>
        <w:jc w:val="both"/>
        <w:rPr>
          <w:b/>
        </w:rPr>
      </w:pPr>
    </w:p>
    <w:p w14:paraId="0EC0CCF9" w14:textId="77777777" w:rsidR="00101C6F" w:rsidRPr="00101C6F" w:rsidRDefault="00101C6F" w:rsidP="00101C6F">
      <w:pPr>
        <w:tabs>
          <w:tab w:val="left" w:pos="0"/>
          <w:tab w:val="left" w:pos="793"/>
        </w:tabs>
        <w:spacing w:after="0" w:line="240" w:lineRule="auto"/>
        <w:ind w:right="-23"/>
        <w:jc w:val="both"/>
        <w:rPr>
          <w:b/>
        </w:rPr>
      </w:pPr>
      <w:r w:rsidRPr="00101C6F">
        <w:rPr>
          <w:b/>
        </w:rPr>
        <w:t>Our strategy</w:t>
      </w:r>
    </w:p>
    <w:p w14:paraId="158426D4" w14:textId="717DCD44" w:rsidR="00101C6F" w:rsidRPr="00101C6F" w:rsidRDefault="00101C6F" w:rsidP="00101C6F">
      <w:pPr>
        <w:tabs>
          <w:tab w:val="left" w:pos="0"/>
          <w:tab w:val="left" w:pos="793"/>
        </w:tabs>
        <w:spacing w:after="0" w:line="240" w:lineRule="auto"/>
        <w:ind w:right="-23"/>
        <w:jc w:val="both"/>
      </w:pPr>
      <w:r w:rsidRPr="00101C6F">
        <w:t>Time Finance is positioned as a risk-mitigated alternative finance provider, recognised as having a highly relevant and flexible offering of business finance products for a well-diversified and expanding base of UK businesses. Our core products are primarily Asset Finance and Invoice Finance augmented by Commercial Loans and our recently launched Asset Based Lending product.</w:t>
      </w:r>
    </w:p>
    <w:p w14:paraId="09D2599A" w14:textId="77777777" w:rsidR="00101C6F" w:rsidRPr="00101C6F" w:rsidRDefault="00101C6F" w:rsidP="00101C6F">
      <w:pPr>
        <w:tabs>
          <w:tab w:val="left" w:pos="0"/>
          <w:tab w:val="left" w:pos="793"/>
        </w:tabs>
        <w:spacing w:after="0" w:line="240" w:lineRule="auto"/>
        <w:ind w:right="-23"/>
        <w:jc w:val="both"/>
      </w:pPr>
    </w:p>
    <w:p w14:paraId="65C42077" w14:textId="77777777" w:rsidR="00101C6F" w:rsidRPr="00101C6F" w:rsidRDefault="00101C6F" w:rsidP="00101C6F">
      <w:pPr>
        <w:tabs>
          <w:tab w:val="left" w:pos="0"/>
          <w:tab w:val="left" w:pos="793"/>
        </w:tabs>
        <w:spacing w:after="0" w:line="240" w:lineRule="auto"/>
        <w:ind w:right="-23"/>
        <w:jc w:val="both"/>
      </w:pPr>
      <w:r w:rsidRPr="00101C6F">
        <w:t xml:space="preserve">There has been significant financial and operational progress made since rolling-out the revised four-year strategy just over two years ago. In addition, the robustness of the planning process has itself been substantially improved, ensuring the actions and resources required to meet key objectives are well understood across the business, with clear performance measures and accountability for outcomes. </w:t>
      </w:r>
    </w:p>
    <w:p w14:paraId="301E65ED" w14:textId="77777777" w:rsidR="00101C6F" w:rsidRPr="00101C6F" w:rsidRDefault="00101C6F" w:rsidP="00101C6F">
      <w:pPr>
        <w:tabs>
          <w:tab w:val="left" w:pos="0"/>
          <w:tab w:val="left" w:pos="793"/>
        </w:tabs>
        <w:spacing w:after="0" w:line="240" w:lineRule="auto"/>
        <w:ind w:right="-23"/>
        <w:jc w:val="both"/>
      </w:pPr>
    </w:p>
    <w:p w14:paraId="1938EFC5" w14:textId="77777777" w:rsidR="00101C6F" w:rsidRPr="00101C6F" w:rsidRDefault="00101C6F" w:rsidP="00101C6F">
      <w:pPr>
        <w:tabs>
          <w:tab w:val="left" w:pos="0"/>
          <w:tab w:val="left" w:pos="793"/>
        </w:tabs>
        <w:spacing w:after="0" w:line="240" w:lineRule="auto"/>
        <w:ind w:right="-23"/>
        <w:jc w:val="both"/>
      </w:pPr>
      <w:r w:rsidRPr="00101C6F">
        <w:t>A key pillar of our current strategy is the focus on significantly growing our secured own-book lending, and there has been continued traction against this goal with own-book origination of £73.4m during the financial year (2022: £64.4m). This produces a compounding pipeline of future unearned income and is hence significant in driving the underlying value of the Company.</w:t>
      </w:r>
    </w:p>
    <w:p w14:paraId="385314A9" w14:textId="77777777" w:rsidR="00101C6F" w:rsidRPr="00101C6F" w:rsidRDefault="00101C6F" w:rsidP="00101C6F">
      <w:pPr>
        <w:tabs>
          <w:tab w:val="left" w:pos="0"/>
          <w:tab w:val="left" w:pos="793"/>
        </w:tabs>
        <w:spacing w:after="0" w:line="240" w:lineRule="auto"/>
        <w:ind w:right="-23"/>
        <w:jc w:val="both"/>
      </w:pPr>
    </w:p>
    <w:p w14:paraId="664C64CB" w14:textId="77777777" w:rsidR="00101C6F" w:rsidRPr="00101C6F" w:rsidRDefault="00101C6F" w:rsidP="00101C6F">
      <w:pPr>
        <w:tabs>
          <w:tab w:val="left" w:pos="0"/>
          <w:tab w:val="left" w:pos="793"/>
        </w:tabs>
        <w:spacing w:after="0" w:line="240" w:lineRule="auto"/>
        <w:ind w:right="-23"/>
        <w:jc w:val="both"/>
      </w:pPr>
      <w:r w:rsidRPr="00101C6F">
        <w:t xml:space="preserve">We have recognised for some time the importance to our strategy of internal system improvements in order to support our customer experience and business efficiencies. I am pleased to report that there has been tangible progress during this financial year, the benefits of which have been directly enjoyed by both our customers and colleagues. There remains, however, a significant task ahead of us with respect to </w:t>
      </w:r>
      <w:r w:rsidRPr="00101C6F">
        <w:lastRenderedPageBreak/>
        <w:t xml:space="preserve">system improvements and how we use technology to transform outcomes. You can expect further updates as we continue on this journey.      </w:t>
      </w:r>
    </w:p>
    <w:p w14:paraId="1BC3B1F0" w14:textId="77777777" w:rsidR="00101C6F" w:rsidRPr="00101C6F" w:rsidRDefault="00101C6F" w:rsidP="00101C6F">
      <w:pPr>
        <w:tabs>
          <w:tab w:val="left" w:pos="0"/>
          <w:tab w:val="left" w:pos="793"/>
        </w:tabs>
        <w:spacing w:after="0" w:line="240" w:lineRule="auto"/>
        <w:ind w:right="-23"/>
        <w:jc w:val="both"/>
      </w:pPr>
    </w:p>
    <w:p w14:paraId="3D8E1722" w14:textId="77777777" w:rsidR="00101C6F" w:rsidRPr="00101C6F" w:rsidRDefault="00101C6F" w:rsidP="00101C6F">
      <w:pPr>
        <w:tabs>
          <w:tab w:val="left" w:pos="0"/>
          <w:tab w:val="left" w:pos="793"/>
        </w:tabs>
        <w:spacing w:after="0" w:line="240" w:lineRule="auto"/>
        <w:ind w:right="-23"/>
        <w:jc w:val="both"/>
        <w:rPr>
          <w:b/>
        </w:rPr>
      </w:pPr>
      <w:r w:rsidRPr="00101C6F">
        <w:rPr>
          <w:b/>
        </w:rPr>
        <w:t>Governance and culture</w:t>
      </w:r>
    </w:p>
    <w:p w14:paraId="0F1A501E" w14:textId="77777777" w:rsidR="00101C6F" w:rsidRPr="00101C6F" w:rsidRDefault="00101C6F" w:rsidP="00101C6F">
      <w:pPr>
        <w:tabs>
          <w:tab w:val="left" w:pos="0"/>
          <w:tab w:val="left" w:pos="793"/>
        </w:tabs>
        <w:spacing w:after="0" w:line="240" w:lineRule="auto"/>
        <w:ind w:right="-23"/>
        <w:jc w:val="both"/>
      </w:pPr>
      <w:r w:rsidRPr="00101C6F">
        <w:t>The business operates in a regulated environment and a key responsibility for the Board is to ensure that strong and effective governance operates throughout the Group. The Board has four sub-committees, namely ‘Audit’, ‘Remuneration’, ‘Nomination’, and ‘Governance and Risk’. Membership comprises only of non-executive directors with the committees meeting on a regular basis and, as and when appropriate, inviting members of the senior management team to enable well informed discussion and decision making, as well as gaining appropriate levels of assurance.</w:t>
      </w:r>
    </w:p>
    <w:p w14:paraId="7F803D6D" w14:textId="77777777" w:rsidR="00101C6F" w:rsidRPr="00101C6F" w:rsidRDefault="00101C6F" w:rsidP="00101C6F">
      <w:pPr>
        <w:tabs>
          <w:tab w:val="left" w:pos="0"/>
          <w:tab w:val="left" w:pos="793"/>
        </w:tabs>
        <w:spacing w:after="0" w:line="240" w:lineRule="auto"/>
        <w:ind w:right="-23"/>
        <w:jc w:val="both"/>
      </w:pPr>
    </w:p>
    <w:p w14:paraId="75C17714" w14:textId="77777777" w:rsidR="00101C6F" w:rsidRPr="00101C6F" w:rsidRDefault="00101C6F" w:rsidP="00101C6F">
      <w:pPr>
        <w:tabs>
          <w:tab w:val="left" w:pos="0"/>
          <w:tab w:val="left" w:pos="793"/>
        </w:tabs>
        <w:spacing w:after="0" w:line="240" w:lineRule="auto"/>
        <w:ind w:right="-23"/>
        <w:jc w:val="both"/>
      </w:pPr>
      <w:r w:rsidRPr="00101C6F">
        <w:t xml:space="preserve">The culture within Time Finance is of paramount importance to us. A key objective as we went into this financial year was to refresh our values. Across the business we challenged ourselves to ensure that our values represent a cohesive and relevant statement of who we are and what we stand for. This is important as our values are what we use to guide our behaviours and decisions as we go about our daily business of helping UK businesses. Our values - putting People First, being Bold, being Flexible, and being Genuine – set a clear framework to enable us to deliver excellent outcomes for our customers. They enable us to be responsive and agile, whilst also ensuring highly responsible attitudes and behaviours in every member of our team. </w:t>
      </w:r>
    </w:p>
    <w:p w14:paraId="1A023D78" w14:textId="77777777" w:rsidR="00101C6F" w:rsidRPr="00101C6F" w:rsidRDefault="00101C6F" w:rsidP="00101C6F">
      <w:pPr>
        <w:tabs>
          <w:tab w:val="left" w:pos="0"/>
          <w:tab w:val="left" w:pos="793"/>
        </w:tabs>
        <w:spacing w:after="0" w:line="240" w:lineRule="auto"/>
        <w:ind w:right="-23"/>
        <w:jc w:val="both"/>
      </w:pPr>
    </w:p>
    <w:p w14:paraId="62FCDA2A" w14:textId="77777777" w:rsidR="00101C6F" w:rsidRPr="00101C6F" w:rsidRDefault="00101C6F" w:rsidP="00101C6F">
      <w:pPr>
        <w:tabs>
          <w:tab w:val="left" w:pos="0"/>
          <w:tab w:val="left" w:pos="793"/>
        </w:tabs>
        <w:spacing w:after="0" w:line="240" w:lineRule="auto"/>
        <w:ind w:right="-23"/>
        <w:jc w:val="both"/>
      </w:pPr>
      <w:r w:rsidRPr="00101C6F">
        <w:t xml:space="preserve">We continue to embed Environmental, Social and Governance (“ESG”) as part of our business strategy. The themes of our ESG approach include a good working environment for our colleagues, doing great work within our local communities, addressing our carbon footprint impact, and investment in systems and training – with the benefits being long-term sustainable growth, improved service levels and enhanced operational resilience. </w:t>
      </w:r>
    </w:p>
    <w:p w14:paraId="191A49A2" w14:textId="77777777" w:rsidR="00101C6F" w:rsidRPr="00101C6F" w:rsidRDefault="00101C6F" w:rsidP="00101C6F">
      <w:pPr>
        <w:tabs>
          <w:tab w:val="left" w:pos="0"/>
          <w:tab w:val="left" w:pos="793"/>
        </w:tabs>
        <w:spacing w:after="0" w:line="240" w:lineRule="auto"/>
        <w:ind w:right="-23"/>
        <w:jc w:val="both"/>
        <w:rPr>
          <w:b/>
        </w:rPr>
      </w:pPr>
    </w:p>
    <w:p w14:paraId="208781BA" w14:textId="77777777" w:rsidR="00101C6F" w:rsidRPr="00101C6F" w:rsidRDefault="00101C6F" w:rsidP="00101C6F">
      <w:pPr>
        <w:tabs>
          <w:tab w:val="left" w:pos="0"/>
          <w:tab w:val="left" w:pos="793"/>
        </w:tabs>
        <w:spacing w:after="0" w:line="240" w:lineRule="auto"/>
        <w:ind w:right="-23"/>
        <w:jc w:val="both"/>
        <w:rPr>
          <w:b/>
        </w:rPr>
      </w:pPr>
      <w:r w:rsidRPr="00101C6F">
        <w:rPr>
          <w:b/>
        </w:rPr>
        <w:t>Our people</w:t>
      </w:r>
    </w:p>
    <w:p w14:paraId="0988870D" w14:textId="77777777" w:rsidR="00101C6F" w:rsidRPr="00101C6F" w:rsidRDefault="00101C6F" w:rsidP="00101C6F">
      <w:pPr>
        <w:tabs>
          <w:tab w:val="left" w:pos="0"/>
          <w:tab w:val="left" w:pos="793"/>
        </w:tabs>
        <w:spacing w:after="0" w:line="240" w:lineRule="auto"/>
        <w:ind w:right="-23"/>
        <w:jc w:val="both"/>
      </w:pPr>
      <w:r w:rsidRPr="00101C6F">
        <w:t>The depth of experience and understanding within the business of the needs, challenges and aspirations of UK SMEs positions us to navigate a challenging marketplace for the mutual success of the business and our customers. Our colleagues throughout the business are highly resourceful, driven, and committed, and on behalf of the Board, I wish to record our sincere gratitude for all their efforts and results.</w:t>
      </w:r>
    </w:p>
    <w:p w14:paraId="55B1C654" w14:textId="77777777" w:rsidR="00101C6F" w:rsidRPr="00101C6F" w:rsidRDefault="00101C6F" w:rsidP="00101C6F">
      <w:pPr>
        <w:tabs>
          <w:tab w:val="left" w:pos="0"/>
          <w:tab w:val="left" w:pos="793"/>
        </w:tabs>
        <w:spacing w:after="0" w:line="240" w:lineRule="auto"/>
        <w:ind w:right="-23"/>
        <w:jc w:val="both"/>
      </w:pPr>
    </w:p>
    <w:p w14:paraId="20125EBB" w14:textId="77777777" w:rsidR="00101C6F" w:rsidRPr="00101C6F" w:rsidRDefault="00101C6F" w:rsidP="00101C6F">
      <w:pPr>
        <w:tabs>
          <w:tab w:val="left" w:pos="0"/>
          <w:tab w:val="left" w:pos="793"/>
        </w:tabs>
        <w:spacing w:after="0" w:line="240" w:lineRule="auto"/>
        <w:ind w:right="-23"/>
        <w:jc w:val="both"/>
      </w:pPr>
      <w:r w:rsidRPr="00101C6F">
        <w:t xml:space="preserve">Aside from excellent financial and operational performance by our dedicated and capable colleagues, highlights for this year have included an all-employee conference held in March, delivery of a refreshed set of values, and the ongoing charity work by the team. I remain in awe of the commitment to charity work by so many of our colleagues; it is genuinely humbling and inspiring.   </w:t>
      </w:r>
    </w:p>
    <w:p w14:paraId="7BC8FA15" w14:textId="77777777" w:rsidR="00101C6F" w:rsidRPr="00101C6F" w:rsidRDefault="00101C6F" w:rsidP="00101C6F">
      <w:pPr>
        <w:tabs>
          <w:tab w:val="left" w:pos="0"/>
          <w:tab w:val="left" w:pos="793"/>
        </w:tabs>
        <w:spacing w:after="0" w:line="240" w:lineRule="auto"/>
        <w:ind w:right="-23"/>
        <w:jc w:val="both"/>
      </w:pPr>
    </w:p>
    <w:p w14:paraId="682EE2C6" w14:textId="52E4BFA8" w:rsidR="00101C6F" w:rsidRPr="00101C6F" w:rsidRDefault="00101C6F" w:rsidP="00101C6F">
      <w:pPr>
        <w:tabs>
          <w:tab w:val="left" w:pos="0"/>
          <w:tab w:val="left" w:pos="793"/>
        </w:tabs>
        <w:spacing w:after="0" w:line="240" w:lineRule="auto"/>
        <w:ind w:right="-23"/>
        <w:jc w:val="both"/>
      </w:pPr>
      <w:r w:rsidRPr="00101C6F">
        <w:t>I would like to express my thanks to Ed Rimmer, our CEO, and James Roberts, our CFO, for their leadership and execution in what has been a significant year for the business. I am also delighted to welcome both Tracy Watkinson and Paul Hird to the Board as Non-Executive Directors. Both Tracy and Paul bring new skills and insight and will offer fresh challenges to the Executive team. At the same time, I would like to extend my sincere thanks to Julian Telling and Ron Russell who will be standing down following the Annual General Meeting in early November. Both Julian and Ron have been integral to the development of the business over many years and their experience, insight and humour will be missed.</w:t>
      </w:r>
    </w:p>
    <w:p w14:paraId="69BEBC8A" w14:textId="77777777" w:rsidR="00101C6F" w:rsidRPr="00101C6F" w:rsidRDefault="00101C6F" w:rsidP="00101C6F">
      <w:pPr>
        <w:tabs>
          <w:tab w:val="left" w:pos="0"/>
          <w:tab w:val="left" w:pos="793"/>
        </w:tabs>
        <w:spacing w:after="0" w:line="240" w:lineRule="auto"/>
        <w:ind w:right="-23"/>
        <w:jc w:val="both"/>
        <w:rPr>
          <w:b/>
        </w:rPr>
      </w:pPr>
    </w:p>
    <w:p w14:paraId="5553E893" w14:textId="77777777" w:rsidR="00101C6F" w:rsidRPr="00101C6F" w:rsidRDefault="00101C6F" w:rsidP="00101C6F">
      <w:pPr>
        <w:tabs>
          <w:tab w:val="left" w:pos="0"/>
          <w:tab w:val="left" w:pos="793"/>
        </w:tabs>
        <w:spacing w:after="0" w:line="240" w:lineRule="auto"/>
        <w:ind w:right="-23"/>
        <w:jc w:val="both"/>
        <w:rPr>
          <w:b/>
        </w:rPr>
      </w:pPr>
      <w:r w:rsidRPr="00101C6F">
        <w:rPr>
          <w:b/>
        </w:rPr>
        <w:t>Outlook</w:t>
      </w:r>
    </w:p>
    <w:p w14:paraId="0F0E4591" w14:textId="77777777" w:rsidR="00101C6F" w:rsidRPr="00101C6F" w:rsidRDefault="00101C6F" w:rsidP="00101C6F">
      <w:pPr>
        <w:tabs>
          <w:tab w:val="left" w:pos="0"/>
          <w:tab w:val="left" w:pos="793"/>
        </w:tabs>
        <w:spacing w:after="0" w:line="240" w:lineRule="auto"/>
        <w:ind w:right="-23"/>
        <w:jc w:val="both"/>
      </w:pPr>
      <w:r w:rsidRPr="00101C6F">
        <w:t xml:space="preserve">Whilst the economic and political environment is uncertain and challenging, the financial performance for the year supports our confidence in our strategic plan and the capability of our team to deliver it. The main pillars of focus remain looking after our customers’ needs in a responsible and agile way, and supporting and empowering our people to be the best they can be, in order to achieve strong and sustainable growth of the business, for the benefit of all our stakeholders. </w:t>
      </w:r>
    </w:p>
    <w:p w14:paraId="318F9050" w14:textId="77777777" w:rsidR="00101C6F" w:rsidRPr="00101C6F" w:rsidRDefault="00101C6F" w:rsidP="00101C6F">
      <w:pPr>
        <w:tabs>
          <w:tab w:val="left" w:pos="0"/>
          <w:tab w:val="left" w:pos="793"/>
        </w:tabs>
        <w:spacing w:after="0" w:line="240" w:lineRule="auto"/>
        <w:ind w:right="-23"/>
        <w:jc w:val="both"/>
      </w:pPr>
    </w:p>
    <w:p w14:paraId="6BA00F39" w14:textId="77777777" w:rsidR="00101C6F" w:rsidRPr="00101C6F" w:rsidRDefault="00101C6F" w:rsidP="00101C6F">
      <w:pPr>
        <w:tabs>
          <w:tab w:val="left" w:pos="0"/>
          <w:tab w:val="left" w:pos="793"/>
        </w:tabs>
        <w:spacing w:after="0" w:line="240" w:lineRule="auto"/>
        <w:ind w:right="-23"/>
        <w:jc w:val="both"/>
      </w:pPr>
      <w:r w:rsidRPr="00101C6F">
        <w:t>Time Finance continues to benefit from being a provider of a range of financial products across multiple business sectors and has no overweight dependence on any specific business category. The continued strengthening of our balance sheet, and access to the required cash resources for the planned growth, leaves us positive about the future performance of the business.</w:t>
      </w:r>
    </w:p>
    <w:p w14:paraId="7674E674" w14:textId="77777777" w:rsidR="00101C6F" w:rsidRPr="00101C6F" w:rsidRDefault="00101C6F" w:rsidP="00101C6F">
      <w:pPr>
        <w:tabs>
          <w:tab w:val="left" w:pos="0"/>
          <w:tab w:val="left" w:pos="793"/>
        </w:tabs>
        <w:spacing w:after="0" w:line="240" w:lineRule="auto"/>
        <w:ind w:right="-23"/>
        <w:jc w:val="both"/>
      </w:pPr>
    </w:p>
    <w:p w14:paraId="7DB9EDF1" w14:textId="77777777" w:rsidR="00101C6F" w:rsidRPr="00101C6F" w:rsidRDefault="00101C6F" w:rsidP="00101C6F">
      <w:pPr>
        <w:tabs>
          <w:tab w:val="left" w:pos="0"/>
          <w:tab w:val="left" w:pos="793"/>
        </w:tabs>
        <w:spacing w:after="0" w:line="240" w:lineRule="auto"/>
        <w:ind w:right="-23"/>
        <w:jc w:val="both"/>
      </w:pPr>
      <w:r w:rsidRPr="00101C6F">
        <w:t>In my second statement as Chair, I would like to extend my thanks to all of our stakeholders for their continued support.</w:t>
      </w:r>
    </w:p>
    <w:p w14:paraId="5C44F4BD" w14:textId="77777777" w:rsidR="00101C6F" w:rsidRDefault="00101C6F" w:rsidP="00444B9E">
      <w:pPr>
        <w:tabs>
          <w:tab w:val="left" w:pos="0"/>
          <w:tab w:val="left" w:pos="793"/>
        </w:tabs>
        <w:spacing w:after="0" w:line="240" w:lineRule="auto"/>
        <w:ind w:right="-23"/>
        <w:jc w:val="both"/>
      </w:pPr>
    </w:p>
    <w:p w14:paraId="36FAD921" w14:textId="77777777" w:rsidR="003B6703" w:rsidRDefault="003B6703" w:rsidP="00A37DAB">
      <w:pPr>
        <w:tabs>
          <w:tab w:val="left" w:pos="0"/>
        </w:tabs>
        <w:spacing w:after="0" w:line="240" w:lineRule="auto"/>
        <w:ind w:right="-23"/>
        <w:jc w:val="both"/>
        <w:rPr>
          <w:rFonts w:cstheme="minorHAnsi"/>
        </w:rPr>
      </w:pPr>
    </w:p>
    <w:p w14:paraId="66E904ED" w14:textId="079BF751" w:rsidR="0056117F" w:rsidRPr="003904A5" w:rsidRDefault="0056117F" w:rsidP="0056117F">
      <w:pPr>
        <w:tabs>
          <w:tab w:val="left" w:pos="0"/>
        </w:tabs>
        <w:spacing w:after="0" w:line="240" w:lineRule="auto"/>
        <w:ind w:right="-23"/>
        <w:jc w:val="both"/>
        <w:rPr>
          <w:rFonts w:eastAsia="Times New Roman" w:cstheme="minorHAnsi"/>
          <w:b/>
        </w:rPr>
      </w:pPr>
      <w:r>
        <w:rPr>
          <w:rFonts w:eastAsia="Times New Roman" w:cstheme="minorHAnsi"/>
          <w:b/>
        </w:rPr>
        <w:t>Tanya Raynes</w:t>
      </w:r>
    </w:p>
    <w:p w14:paraId="146EDAC8" w14:textId="77CEF446" w:rsidR="0056117F" w:rsidRDefault="0056117F" w:rsidP="0056117F">
      <w:pPr>
        <w:tabs>
          <w:tab w:val="left" w:pos="0"/>
        </w:tabs>
        <w:spacing w:after="0" w:line="240" w:lineRule="auto"/>
        <w:ind w:right="-23"/>
        <w:jc w:val="both"/>
        <w:rPr>
          <w:rFonts w:eastAsia="Times New Roman" w:cstheme="minorHAnsi"/>
          <w:bCs/>
          <w:color w:val="000000"/>
          <w:lang w:eastAsia="en-GB"/>
        </w:rPr>
      </w:pPr>
      <w:r w:rsidRPr="003904A5">
        <w:rPr>
          <w:rFonts w:eastAsia="Times New Roman" w:cstheme="minorHAnsi"/>
          <w:bCs/>
        </w:rPr>
        <w:t>Ch</w:t>
      </w:r>
      <w:r>
        <w:rPr>
          <w:rFonts w:eastAsia="Times New Roman" w:cstheme="minorHAnsi"/>
          <w:bCs/>
        </w:rPr>
        <w:t xml:space="preserve">air - </w:t>
      </w:r>
      <w:r w:rsidRPr="00B16D6A">
        <w:rPr>
          <w:rFonts w:eastAsia="Times New Roman" w:cstheme="minorHAnsi"/>
          <w:bCs/>
          <w:color w:val="000000"/>
          <w:lang w:eastAsia="en-GB"/>
        </w:rPr>
        <w:t>2</w:t>
      </w:r>
      <w:r>
        <w:rPr>
          <w:rFonts w:eastAsia="Times New Roman" w:cstheme="minorHAnsi"/>
          <w:bCs/>
          <w:color w:val="000000"/>
          <w:lang w:eastAsia="en-GB"/>
        </w:rPr>
        <w:t>6</w:t>
      </w:r>
      <w:r w:rsidRPr="00B16D6A">
        <w:rPr>
          <w:rFonts w:eastAsia="Times New Roman" w:cstheme="minorHAnsi"/>
          <w:bCs/>
          <w:color w:val="000000"/>
          <w:lang w:eastAsia="en-GB"/>
        </w:rPr>
        <w:t xml:space="preserve"> September 2002</w:t>
      </w:r>
    </w:p>
    <w:p w14:paraId="522C4427" w14:textId="77777777" w:rsidR="005F1B8C" w:rsidRDefault="005F1B8C" w:rsidP="003904A5">
      <w:pPr>
        <w:tabs>
          <w:tab w:val="left" w:pos="0"/>
        </w:tabs>
        <w:spacing w:after="0" w:line="240" w:lineRule="auto"/>
        <w:ind w:right="-23"/>
        <w:jc w:val="both"/>
        <w:rPr>
          <w:rFonts w:cstheme="minorHAnsi"/>
        </w:rPr>
      </w:pPr>
    </w:p>
    <w:p w14:paraId="258F9408" w14:textId="77777777" w:rsidR="005F1B8C" w:rsidRDefault="005F1B8C" w:rsidP="003904A5">
      <w:pPr>
        <w:tabs>
          <w:tab w:val="left" w:pos="0"/>
        </w:tabs>
        <w:spacing w:after="0" w:line="240" w:lineRule="auto"/>
        <w:ind w:right="-23"/>
        <w:jc w:val="both"/>
        <w:rPr>
          <w:rFonts w:cstheme="minorHAnsi"/>
        </w:rPr>
      </w:pPr>
    </w:p>
    <w:p w14:paraId="577265EB" w14:textId="77777777" w:rsidR="003B6703" w:rsidRDefault="003B6703" w:rsidP="003904A5">
      <w:pPr>
        <w:tabs>
          <w:tab w:val="left" w:pos="0"/>
        </w:tabs>
        <w:spacing w:after="0" w:line="240" w:lineRule="auto"/>
        <w:ind w:right="-23"/>
        <w:jc w:val="both"/>
        <w:rPr>
          <w:rFonts w:cstheme="minorHAnsi"/>
        </w:rPr>
      </w:pPr>
    </w:p>
    <w:p w14:paraId="7BBB87C5" w14:textId="26E0E491" w:rsidR="003904A5" w:rsidRPr="005F1B8C" w:rsidRDefault="003904A5" w:rsidP="003904A5">
      <w:pPr>
        <w:tabs>
          <w:tab w:val="left" w:pos="0"/>
        </w:tabs>
        <w:spacing w:after="0" w:line="240" w:lineRule="auto"/>
        <w:ind w:right="-23"/>
        <w:jc w:val="both"/>
        <w:rPr>
          <w:rFonts w:cstheme="minorHAnsi"/>
        </w:rPr>
      </w:pPr>
      <w:r w:rsidRPr="003904A5">
        <w:rPr>
          <w:rFonts w:cstheme="minorHAnsi"/>
          <w:b/>
          <w:bCs/>
        </w:rPr>
        <w:t xml:space="preserve">Chief Executive Officer's Report </w:t>
      </w:r>
    </w:p>
    <w:p w14:paraId="1C05B5BF" w14:textId="53A461CE" w:rsidR="003904A5" w:rsidRDefault="003904A5" w:rsidP="003904A5">
      <w:pPr>
        <w:tabs>
          <w:tab w:val="left" w:pos="0"/>
        </w:tabs>
        <w:spacing w:after="0" w:line="240" w:lineRule="auto"/>
        <w:ind w:right="-23"/>
        <w:jc w:val="both"/>
        <w:rPr>
          <w:rFonts w:cstheme="minorHAnsi"/>
          <w:b/>
          <w:bCs/>
        </w:rPr>
      </w:pPr>
      <w:r>
        <w:rPr>
          <w:rFonts w:cstheme="minorHAnsi"/>
          <w:b/>
          <w:bCs/>
        </w:rPr>
        <w:t>For the year ended 31 May 202</w:t>
      </w:r>
      <w:r w:rsidR="003D68FC">
        <w:rPr>
          <w:rFonts w:cstheme="minorHAnsi"/>
          <w:b/>
          <w:bCs/>
        </w:rPr>
        <w:t>3</w:t>
      </w:r>
    </w:p>
    <w:p w14:paraId="5C2E3462" w14:textId="77777777" w:rsidR="00592900" w:rsidRDefault="00592900" w:rsidP="003B6703">
      <w:pPr>
        <w:spacing w:after="0" w:line="240" w:lineRule="auto"/>
        <w:ind w:right="-23"/>
        <w:jc w:val="both"/>
        <w:rPr>
          <w:rFonts w:eastAsia="Times New Roman"/>
        </w:rPr>
      </w:pPr>
    </w:p>
    <w:p w14:paraId="4BD72BEE" w14:textId="77777777" w:rsidR="00592900" w:rsidRPr="00592900" w:rsidRDefault="00592900" w:rsidP="00592900">
      <w:pPr>
        <w:spacing w:after="0" w:line="240" w:lineRule="auto"/>
        <w:ind w:right="-23"/>
        <w:jc w:val="both"/>
        <w:rPr>
          <w:rFonts w:eastAsia="Times New Roman"/>
          <w:b/>
        </w:rPr>
      </w:pPr>
      <w:r w:rsidRPr="00592900">
        <w:rPr>
          <w:rFonts w:eastAsia="Times New Roman"/>
          <w:b/>
        </w:rPr>
        <w:t>Introduction</w:t>
      </w:r>
    </w:p>
    <w:p w14:paraId="18BD3450" w14:textId="77777777" w:rsidR="00592900" w:rsidRPr="00592900" w:rsidRDefault="00592900" w:rsidP="00592900">
      <w:pPr>
        <w:spacing w:after="0" w:line="240" w:lineRule="auto"/>
        <w:ind w:right="-23"/>
        <w:jc w:val="both"/>
        <w:rPr>
          <w:rFonts w:eastAsia="Times New Roman"/>
        </w:rPr>
      </w:pPr>
      <w:r w:rsidRPr="00592900">
        <w:rPr>
          <w:rFonts w:eastAsia="Times New Roman"/>
        </w:rPr>
        <w:t>Time Finance is a multi-product, alternative finance provider to UK SMEs, predominantly funding transactions on its own book, but with the ability to broke-out business that falls outside of its credit policy. The business offers two core products, Asset Finance and Invoice Finance, and, to a smaller degree, Commercial Loans along with an Asset Based Lending solution that was launched during the year. The financial results for the business for the year ended 31 May 2023 consolidate the results of the two trading divisions along with a central cost centre.</w:t>
      </w:r>
    </w:p>
    <w:p w14:paraId="2D8C954A" w14:textId="77777777" w:rsidR="00592900" w:rsidRPr="00592900" w:rsidRDefault="00592900" w:rsidP="00592900">
      <w:pPr>
        <w:spacing w:after="0" w:line="240" w:lineRule="auto"/>
        <w:ind w:right="-23"/>
        <w:jc w:val="both"/>
        <w:rPr>
          <w:rFonts w:eastAsia="Times New Roman"/>
        </w:rPr>
      </w:pPr>
    </w:p>
    <w:p w14:paraId="05480284" w14:textId="77777777" w:rsidR="00592900" w:rsidRPr="00592900" w:rsidRDefault="00592900" w:rsidP="00592900">
      <w:pPr>
        <w:spacing w:after="0" w:line="240" w:lineRule="auto"/>
        <w:ind w:right="-23"/>
        <w:jc w:val="both"/>
        <w:rPr>
          <w:rFonts w:eastAsia="Times New Roman"/>
        </w:rPr>
      </w:pPr>
      <w:r w:rsidRPr="00592900">
        <w:rPr>
          <w:rFonts w:eastAsia="Times New Roman"/>
        </w:rPr>
        <w:t xml:space="preserve">The post Covid-19 recovery that started to positively impact the business in the early part of 2022 continued to provide opportunities for alternative finance providers. With the various government funding schemes largely coming to an end, and significant challenges facing SMEs in the shape of rising costs, supply chain disruptions and spiralling interest rates, access to finance became of vital importance again to small businesses. Having made good progress with our strategic plan that was put in place in June 2021, we were in a good position to capitalise on these developments, and I am pleased with the overall performance and financial results for the year. </w:t>
      </w:r>
    </w:p>
    <w:p w14:paraId="36953222" w14:textId="77777777" w:rsidR="00592900" w:rsidRPr="00592900" w:rsidRDefault="00592900" w:rsidP="00592900">
      <w:pPr>
        <w:spacing w:after="0" w:line="240" w:lineRule="auto"/>
        <w:ind w:right="-23"/>
        <w:jc w:val="both"/>
        <w:rPr>
          <w:rFonts w:eastAsia="Times New Roman"/>
        </w:rPr>
      </w:pPr>
    </w:p>
    <w:p w14:paraId="14B11453" w14:textId="77777777" w:rsidR="00592900" w:rsidRPr="00592900" w:rsidRDefault="00592900" w:rsidP="00592900">
      <w:pPr>
        <w:spacing w:after="0" w:line="240" w:lineRule="auto"/>
        <w:ind w:right="-23"/>
        <w:jc w:val="both"/>
        <w:rPr>
          <w:rFonts w:eastAsia="Times New Roman"/>
        </w:rPr>
      </w:pPr>
      <w:r w:rsidRPr="00592900">
        <w:rPr>
          <w:rFonts w:eastAsia="Times New Roman"/>
        </w:rPr>
        <w:t xml:space="preserve">The positive results achieved are due to the commitment and hard work shown by all our colleagues across the business. Like all businesses, a lot of disruption was evident during the pandemic and significant resilience was shown by our entire team. A sensible balance has now been achieved in terms of providing flexible working and this is now a permanent feature of the business. Whilst this enables people to work from home if their role allows, creating a vibrant atmosphere in the office is still an important part of Time Finance being a “people” business. Our SME clients and customers value a high degree of human interaction and providing flexibility to them is therefore a key part of the proposition. </w:t>
      </w:r>
    </w:p>
    <w:p w14:paraId="6865830D" w14:textId="77777777" w:rsidR="00592900" w:rsidRPr="00592900" w:rsidRDefault="00592900" w:rsidP="00592900">
      <w:pPr>
        <w:spacing w:after="0" w:line="240" w:lineRule="auto"/>
        <w:ind w:right="-23"/>
        <w:jc w:val="both"/>
        <w:rPr>
          <w:rFonts w:eastAsia="Times New Roman"/>
        </w:rPr>
      </w:pPr>
    </w:p>
    <w:p w14:paraId="19616DD4" w14:textId="77777777" w:rsidR="00592900" w:rsidRPr="00592900" w:rsidRDefault="00592900" w:rsidP="00592900">
      <w:pPr>
        <w:spacing w:after="0" w:line="240" w:lineRule="auto"/>
        <w:ind w:right="-23"/>
        <w:jc w:val="both"/>
        <w:rPr>
          <w:rFonts w:eastAsia="Times New Roman"/>
          <w:b/>
        </w:rPr>
      </w:pPr>
      <w:r w:rsidRPr="00592900">
        <w:rPr>
          <w:rFonts w:eastAsia="Times New Roman"/>
          <w:b/>
        </w:rPr>
        <w:t>Sustainable, robust business model</w:t>
      </w:r>
    </w:p>
    <w:p w14:paraId="49BF2B44" w14:textId="77777777" w:rsidR="00592900" w:rsidRPr="00592900" w:rsidRDefault="00592900" w:rsidP="00592900">
      <w:pPr>
        <w:spacing w:after="0" w:line="240" w:lineRule="auto"/>
        <w:ind w:right="-23"/>
        <w:jc w:val="both"/>
        <w:rPr>
          <w:rFonts w:eastAsia="Times New Roman"/>
        </w:rPr>
      </w:pPr>
      <w:r w:rsidRPr="00592900">
        <w:rPr>
          <w:rFonts w:eastAsia="Times New Roman"/>
        </w:rPr>
        <w:t>Time Finance has maintained sound operational principles designed to develop a robust business including:</w:t>
      </w:r>
    </w:p>
    <w:p w14:paraId="45EBB3F5" w14:textId="77777777" w:rsidR="00592900" w:rsidRPr="00592900" w:rsidRDefault="00592900" w:rsidP="00592900">
      <w:pPr>
        <w:spacing w:after="0" w:line="240" w:lineRule="auto"/>
        <w:ind w:right="-23"/>
        <w:jc w:val="both"/>
        <w:rPr>
          <w:rFonts w:eastAsia="Times New Roman"/>
        </w:rPr>
      </w:pPr>
    </w:p>
    <w:p w14:paraId="11F9EDD3" w14:textId="77777777" w:rsidR="00592900" w:rsidRDefault="00592900" w:rsidP="00592900">
      <w:pPr>
        <w:numPr>
          <w:ilvl w:val="0"/>
          <w:numId w:val="36"/>
        </w:numPr>
        <w:spacing w:after="0" w:line="240" w:lineRule="auto"/>
        <w:ind w:left="426" w:right="-23"/>
        <w:jc w:val="both"/>
        <w:rPr>
          <w:rFonts w:eastAsia="Times New Roman"/>
        </w:rPr>
      </w:pPr>
      <w:r w:rsidRPr="00592900">
        <w:rPr>
          <w:rFonts w:eastAsia="Times New Roman"/>
          <w:b/>
          <w:bCs/>
        </w:rPr>
        <w:t>a widely spread lending book</w:t>
      </w:r>
      <w:r w:rsidRPr="00592900">
        <w:rPr>
          <w:rFonts w:eastAsia="Times New Roman"/>
        </w:rPr>
        <w:t xml:space="preserve"> with security taken to support lending facilities and a suitable margin achieved on each deal to justify the risk taken. </w:t>
      </w:r>
    </w:p>
    <w:p w14:paraId="76D7352D" w14:textId="77777777" w:rsidR="00592900" w:rsidRDefault="00592900" w:rsidP="00592900">
      <w:pPr>
        <w:numPr>
          <w:ilvl w:val="0"/>
          <w:numId w:val="36"/>
        </w:numPr>
        <w:spacing w:after="0" w:line="240" w:lineRule="auto"/>
        <w:ind w:left="426" w:right="-23"/>
        <w:jc w:val="both"/>
        <w:rPr>
          <w:rFonts w:eastAsia="Times New Roman"/>
        </w:rPr>
      </w:pPr>
      <w:r w:rsidRPr="00592900">
        <w:rPr>
          <w:rFonts w:eastAsia="Times New Roman"/>
          <w:b/>
          <w:bCs/>
        </w:rPr>
        <w:t>fixed interest rates</w:t>
      </w:r>
      <w:r w:rsidRPr="00592900">
        <w:rPr>
          <w:rFonts w:eastAsia="Times New Roman"/>
        </w:rPr>
        <w:t xml:space="preserve"> are charged for the term of the lending in both the Asset and Loan divisions. Interest rates incurred on borrowings drawn down are also fixed for the term in these divisions. Our policy is, wherever possible, to match the term of borrowings drawn to the term of lending provided </w:t>
      </w:r>
      <w:r w:rsidRPr="00592900">
        <w:rPr>
          <w:rFonts w:eastAsia="Times New Roman"/>
        </w:rPr>
        <w:lastRenderedPageBreak/>
        <w:t>and this has been of utmost importance over the trading period given the significant increase in interest rates.</w:t>
      </w:r>
    </w:p>
    <w:p w14:paraId="3FACB094" w14:textId="77777777" w:rsidR="00592900" w:rsidRDefault="00592900" w:rsidP="00592900">
      <w:pPr>
        <w:numPr>
          <w:ilvl w:val="0"/>
          <w:numId w:val="36"/>
        </w:numPr>
        <w:spacing w:after="0" w:line="240" w:lineRule="auto"/>
        <w:ind w:left="426" w:right="-23"/>
        <w:jc w:val="both"/>
        <w:rPr>
          <w:rFonts w:eastAsia="Times New Roman"/>
        </w:rPr>
      </w:pPr>
      <w:r w:rsidRPr="00592900">
        <w:rPr>
          <w:rFonts w:eastAsia="Times New Roman"/>
          <w:b/>
          <w:bCs/>
        </w:rPr>
        <w:t>underwriting is carried out by people</w:t>
      </w:r>
      <w:r w:rsidRPr="00592900">
        <w:rPr>
          <w:rFonts w:eastAsia="Times New Roman"/>
        </w:rPr>
        <w:t xml:space="preserve"> as opposed to automated systems for credit decisions. Although an essential element of the business’ development continues to be the deployment of IT systems and improved efficiencies, it is essential that the end credit decisions are taken by people given the markets we operate in.</w:t>
      </w:r>
    </w:p>
    <w:p w14:paraId="1F259679" w14:textId="436CCACB" w:rsidR="00592900" w:rsidRPr="00592900" w:rsidRDefault="00592900" w:rsidP="00592900">
      <w:pPr>
        <w:numPr>
          <w:ilvl w:val="0"/>
          <w:numId w:val="36"/>
        </w:numPr>
        <w:spacing w:after="0" w:line="240" w:lineRule="auto"/>
        <w:ind w:left="426" w:right="-23"/>
        <w:jc w:val="both"/>
        <w:rPr>
          <w:rFonts w:eastAsia="Times New Roman"/>
        </w:rPr>
      </w:pPr>
      <w:r w:rsidRPr="00592900">
        <w:rPr>
          <w:rFonts w:eastAsia="Times New Roman"/>
          <w:b/>
          <w:bCs/>
        </w:rPr>
        <w:t>a realistic approach to provisioning</w:t>
      </w:r>
      <w:r w:rsidRPr="00592900">
        <w:rPr>
          <w:rFonts w:eastAsia="Times New Roman"/>
        </w:rPr>
        <w:t xml:space="preserve"> with total provisions carried in the balance sheet at 31 May 2023 amounting to £4.2m, representing approximately 3% of the net lending portfolio. A detailed internal review of provisioning is undertaken on a quarterly basis, led by our Director of Risk and our CFO and the recommendations made are presented to the Board for approval.</w:t>
      </w:r>
    </w:p>
    <w:p w14:paraId="000A52B0" w14:textId="77777777" w:rsidR="00592900" w:rsidRPr="00592900" w:rsidRDefault="00592900" w:rsidP="00592900">
      <w:pPr>
        <w:spacing w:after="0" w:line="240" w:lineRule="auto"/>
        <w:ind w:right="-23"/>
        <w:jc w:val="both"/>
        <w:rPr>
          <w:rFonts w:eastAsia="Times New Roman"/>
        </w:rPr>
      </w:pPr>
    </w:p>
    <w:p w14:paraId="2712DC4B" w14:textId="77777777" w:rsidR="00592900" w:rsidRPr="00592900" w:rsidRDefault="00592900" w:rsidP="00592900">
      <w:pPr>
        <w:spacing w:after="0" w:line="240" w:lineRule="auto"/>
        <w:ind w:right="-23"/>
        <w:jc w:val="both"/>
        <w:rPr>
          <w:rFonts w:eastAsia="Times New Roman"/>
          <w:b/>
        </w:rPr>
      </w:pPr>
      <w:r w:rsidRPr="00592900">
        <w:rPr>
          <w:rFonts w:eastAsia="Times New Roman"/>
          <w:b/>
        </w:rPr>
        <w:t>Market positioning and new business origination</w:t>
      </w:r>
    </w:p>
    <w:p w14:paraId="1999DF20" w14:textId="77777777" w:rsidR="00592900" w:rsidRPr="00592900" w:rsidRDefault="00592900" w:rsidP="00592900">
      <w:pPr>
        <w:spacing w:after="0" w:line="240" w:lineRule="auto"/>
        <w:ind w:right="-23"/>
        <w:jc w:val="both"/>
        <w:rPr>
          <w:rFonts w:eastAsia="Times New Roman"/>
        </w:rPr>
      </w:pPr>
      <w:r w:rsidRPr="00592900">
        <w:rPr>
          <w:rFonts w:eastAsia="Times New Roman"/>
        </w:rPr>
        <w:t xml:space="preserve">Time Finance provides the main finance products that UK SMEs require for their day-to-day working capital requirements and fixed asset investments in order to grow their businesses over the longer term. Since the Global Financial Crisis of 2008, the lending market has transformed with the traditional banks no longer being the automatic port of call for small business finance. Many alternative finance providers have emerged in the form of challenger banks, fin-tech lenders and independent providers such as Time Finance, who generally offer more flexibility and a high level of focus on customer service. As we are not a retail deposit taker, wholesale funding facilities are utilised at competitive rates. In order to make an acceptable margin on lending, the business chooses to operate in the “Tier 2” market segment, therefore serving SMEs typically at the smaller end of the market. </w:t>
      </w:r>
    </w:p>
    <w:p w14:paraId="3F118061" w14:textId="77777777" w:rsidR="00592900" w:rsidRPr="00592900" w:rsidRDefault="00592900" w:rsidP="00592900">
      <w:pPr>
        <w:spacing w:after="0" w:line="240" w:lineRule="auto"/>
        <w:ind w:right="-23"/>
        <w:jc w:val="both"/>
        <w:rPr>
          <w:rFonts w:eastAsia="Times New Roman"/>
        </w:rPr>
      </w:pPr>
    </w:p>
    <w:p w14:paraId="1D76D418" w14:textId="5EFEE7A5" w:rsidR="00592900" w:rsidRPr="00592900" w:rsidRDefault="00592900" w:rsidP="00592900">
      <w:pPr>
        <w:spacing w:after="0" w:line="240" w:lineRule="auto"/>
        <w:ind w:right="-23"/>
        <w:jc w:val="both"/>
        <w:rPr>
          <w:rFonts w:eastAsia="Times New Roman"/>
        </w:rPr>
      </w:pPr>
      <w:r w:rsidRPr="00592900">
        <w:rPr>
          <w:rFonts w:eastAsia="Times New Roman"/>
        </w:rPr>
        <w:t xml:space="preserve">New business own-book origination for the year to 31 May 2023 amounted to £73.4m, 14% up on the £64.4m achieved the previous year. 96% of all origination was funded on our own balance sheet with only 4% </w:t>
      </w:r>
      <w:proofErr w:type="spellStart"/>
      <w:r w:rsidRPr="00592900">
        <w:rPr>
          <w:rFonts w:eastAsia="Times New Roman"/>
        </w:rPr>
        <w:t>broked</w:t>
      </w:r>
      <w:proofErr w:type="spellEnd"/>
      <w:r w:rsidRPr="00592900">
        <w:rPr>
          <w:rFonts w:eastAsia="Times New Roman"/>
        </w:rPr>
        <w:t xml:space="preserve">-on, in line with our strategy. </w:t>
      </w:r>
    </w:p>
    <w:p w14:paraId="72B361CD" w14:textId="77777777" w:rsidR="00592900" w:rsidRPr="00592900" w:rsidRDefault="00592900" w:rsidP="00592900">
      <w:pPr>
        <w:spacing w:after="0" w:line="240" w:lineRule="auto"/>
        <w:ind w:right="-23"/>
        <w:jc w:val="both"/>
        <w:rPr>
          <w:rFonts w:eastAsia="Times New Roman"/>
          <w:b/>
        </w:rPr>
      </w:pPr>
    </w:p>
    <w:p w14:paraId="66BBE171" w14:textId="77777777" w:rsidR="00592900" w:rsidRPr="00592900" w:rsidRDefault="00592900" w:rsidP="00592900">
      <w:pPr>
        <w:spacing w:after="0" w:line="240" w:lineRule="auto"/>
        <w:ind w:right="-23"/>
        <w:jc w:val="both"/>
        <w:rPr>
          <w:rFonts w:eastAsia="Times New Roman"/>
          <w:b/>
        </w:rPr>
      </w:pPr>
      <w:r w:rsidRPr="00592900">
        <w:rPr>
          <w:rFonts w:eastAsia="Times New Roman"/>
          <w:b/>
        </w:rPr>
        <w:t>Financial results</w:t>
      </w:r>
    </w:p>
    <w:p w14:paraId="50C4A283" w14:textId="77777777" w:rsidR="00592900" w:rsidRPr="00592900" w:rsidRDefault="00592900" w:rsidP="00592900">
      <w:pPr>
        <w:spacing w:after="0" w:line="240" w:lineRule="auto"/>
        <w:ind w:right="-23"/>
        <w:jc w:val="both"/>
        <w:rPr>
          <w:rFonts w:eastAsia="Times New Roman"/>
        </w:rPr>
      </w:pPr>
      <w:r w:rsidRPr="00592900">
        <w:rPr>
          <w:rFonts w:eastAsia="Times New Roman"/>
        </w:rPr>
        <w:t xml:space="preserve">Revenue for the year to 31 May 2023 was £27.6m, an increase of £4.0m (17%) year-on-year. Profit before tax was £4.2m, a significant increase on the previous year (£1.1m). Total gross receivables stood at £170.1m, a record level, compared with £136.8m on 31 May 2022, a 24% increase and a key part of our strategy to grow own-book lending. Total active borrowing facilities as at 31 May 2023 amounted to £148m (2022: £148m), of which £98m was drawn (2022: £78m). Consolidated Net Tangible Assets stood at £34.2m (2022: £30.5m), an increase of 12%. Net cash and cash equivalents held at 31 May 2023 was £3.8m (2022: £2.9m). </w:t>
      </w:r>
    </w:p>
    <w:p w14:paraId="229B5C19" w14:textId="77777777" w:rsidR="00592900" w:rsidRPr="00592900" w:rsidRDefault="00592900" w:rsidP="00592900">
      <w:pPr>
        <w:spacing w:after="0" w:line="240" w:lineRule="auto"/>
        <w:ind w:right="-23"/>
        <w:jc w:val="both"/>
        <w:rPr>
          <w:rFonts w:eastAsia="Times New Roman"/>
        </w:rPr>
      </w:pPr>
    </w:p>
    <w:p w14:paraId="3D290320" w14:textId="74098286" w:rsidR="00592900" w:rsidRPr="00592900" w:rsidRDefault="00592900" w:rsidP="00592900">
      <w:pPr>
        <w:spacing w:after="0" w:line="240" w:lineRule="auto"/>
        <w:ind w:right="-23"/>
        <w:jc w:val="both"/>
        <w:rPr>
          <w:rFonts w:eastAsia="Times New Roman"/>
        </w:rPr>
      </w:pPr>
      <w:r w:rsidRPr="00592900">
        <w:rPr>
          <w:rFonts w:eastAsia="Times New Roman"/>
        </w:rPr>
        <w:t xml:space="preserve">The strength of the balance sheet, together with its liquidity in the form of available operational debt facilities for lending and cash held, ensure we are well-placed to take advantage of future opportunities over the short to medium term. </w:t>
      </w:r>
    </w:p>
    <w:p w14:paraId="6969A682" w14:textId="77777777" w:rsidR="00592900" w:rsidRPr="00592900" w:rsidRDefault="00592900" w:rsidP="00592900">
      <w:pPr>
        <w:spacing w:after="0" w:line="240" w:lineRule="auto"/>
        <w:ind w:right="-23"/>
        <w:jc w:val="both"/>
        <w:rPr>
          <w:rFonts w:eastAsia="Times New Roman"/>
        </w:rPr>
      </w:pPr>
    </w:p>
    <w:p w14:paraId="1525B8CC" w14:textId="77777777" w:rsidR="00592900" w:rsidRPr="00592900" w:rsidRDefault="00592900" w:rsidP="00592900">
      <w:pPr>
        <w:spacing w:after="0" w:line="240" w:lineRule="auto"/>
        <w:ind w:right="-23"/>
        <w:jc w:val="both"/>
        <w:rPr>
          <w:rFonts w:eastAsia="Times New Roman"/>
          <w:b/>
          <w:bCs/>
        </w:rPr>
      </w:pPr>
      <w:r w:rsidRPr="00592900">
        <w:rPr>
          <w:rFonts w:eastAsia="Times New Roman"/>
          <w:b/>
          <w:bCs/>
        </w:rPr>
        <w:t>Operational progress</w:t>
      </w:r>
    </w:p>
    <w:p w14:paraId="632F2F57" w14:textId="77777777" w:rsidR="00592900" w:rsidRPr="00592900" w:rsidRDefault="00592900" w:rsidP="00592900">
      <w:pPr>
        <w:spacing w:after="0" w:line="240" w:lineRule="auto"/>
        <w:ind w:right="-23"/>
        <w:jc w:val="both"/>
        <w:rPr>
          <w:rFonts w:eastAsia="Times New Roman"/>
        </w:rPr>
      </w:pPr>
      <w:r w:rsidRPr="00592900">
        <w:rPr>
          <w:rFonts w:eastAsia="Times New Roman"/>
        </w:rPr>
        <w:t>The year to 31 May 2023 saw good progress made with respect to our four-year strategic plan. The move away from “non-core” activities was completed with the divestment of the consumer loans brokerage in October 2022 and also the exiting of the wider unsecured loans market in December 2022. This has allowed the business to fully focus on secured Business-to-Business lending with strong growth coming from both the Invoice Finance division (lending up 30% on the previous year to £56m) and the “Hard Asset” offering within the Asset Finance division (up 55% to £62m). Lending across these two core products equated to approximately 70% of total advances at year-end and is very much where we see the majority of future growth coming from. As a result, the new business effort was further scaled-up to support this strategy and I look forward to seeing the results of this over the next twelve months.</w:t>
      </w:r>
    </w:p>
    <w:p w14:paraId="24381684" w14:textId="77777777" w:rsidR="00592900" w:rsidRPr="00592900" w:rsidRDefault="00592900" w:rsidP="00592900">
      <w:pPr>
        <w:spacing w:after="0" w:line="240" w:lineRule="auto"/>
        <w:ind w:right="-23"/>
        <w:jc w:val="both"/>
        <w:rPr>
          <w:rFonts w:eastAsia="Times New Roman"/>
        </w:rPr>
      </w:pPr>
    </w:p>
    <w:p w14:paraId="16C48DBD" w14:textId="77777777" w:rsidR="00592900" w:rsidRPr="00592900" w:rsidRDefault="00592900" w:rsidP="00592900">
      <w:pPr>
        <w:spacing w:after="0" w:line="240" w:lineRule="auto"/>
        <w:ind w:right="-23"/>
        <w:jc w:val="both"/>
        <w:rPr>
          <w:rFonts w:eastAsia="Times New Roman"/>
        </w:rPr>
      </w:pPr>
      <w:r w:rsidRPr="00592900">
        <w:rPr>
          <w:rFonts w:eastAsia="Times New Roman"/>
        </w:rPr>
        <w:lastRenderedPageBreak/>
        <w:t>As part of our multi-product offering, we launched an Asset Based Lending (“ABL”) proposition in April 2023. This was targeted at the smaller end of this market where there is less competition and less pressure on margins. As well as providing the customer with a wider range of funding solutions, it also allows the business to retain client and customer relationships for a longer period. These facilities tend to be fewer in number but larger in value; getting a regular flow of business during the new year is therefore a key objective.</w:t>
      </w:r>
    </w:p>
    <w:p w14:paraId="0D7E3F97" w14:textId="77777777" w:rsidR="00592900" w:rsidRPr="00592900" w:rsidRDefault="00592900" w:rsidP="00592900">
      <w:pPr>
        <w:spacing w:after="0" w:line="240" w:lineRule="auto"/>
        <w:ind w:right="-23"/>
        <w:jc w:val="both"/>
        <w:rPr>
          <w:rFonts w:eastAsia="Times New Roman"/>
        </w:rPr>
      </w:pPr>
    </w:p>
    <w:p w14:paraId="3F5A329C" w14:textId="77777777" w:rsidR="00592900" w:rsidRPr="00592900" w:rsidRDefault="00592900" w:rsidP="00592900">
      <w:pPr>
        <w:spacing w:after="0" w:line="240" w:lineRule="auto"/>
        <w:ind w:right="-23"/>
        <w:jc w:val="both"/>
        <w:rPr>
          <w:rFonts w:eastAsia="Times New Roman"/>
        </w:rPr>
      </w:pPr>
      <w:r w:rsidRPr="00592900">
        <w:rPr>
          <w:rFonts w:eastAsia="Times New Roman"/>
        </w:rPr>
        <w:t>The Invoice Finance division had a particularly successful year, benefiting from increasing interest rates where the rises can be immediately passed on to clients through the variable rate agreements in place. Record new business volumes were seen with some larger facilities taken on, including a £2m facility in December 2022 which represented the single largest new facility put in place. Client attrition was also lower than anticipated, which contributed to the growth in the lending book.</w:t>
      </w:r>
    </w:p>
    <w:p w14:paraId="025471B4" w14:textId="77777777" w:rsidR="00592900" w:rsidRPr="00592900" w:rsidRDefault="00592900" w:rsidP="00592900">
      <w:pPr>
        <w:spacing w:after="0" w:line="240" w:lineRule="auto"/>
        <w:ind w:right="-23"/>
        <w:jc w:val="both"/>
        <w:rPr>
          <w:rFonts w:eastAsia="Times New Roman"/>
        </w:rPr>
      </w:pPr>
    </w:p>
    <w:p w14:paraId="7C9AB07F" w14:textId="77777777" w:rsidR="00592900" w:rsidRPr="00592900" w:rsidRDefault="00592900" w:rsidP="00592900">
      <w:pPr>
        <w:spacing w:after="0" w:line="240" w:lineRule="auto"/>
        <w:ind w:right="-23"/>
        <w:jc w:val="both"/>
        <w:rPr>
          <w:rFonts w:eastAsia="Times New Roman"/>
        </w:rPr>
      </w:pPr>
      <w:r w:rsidRPr="00592900">
        <w:rPr>
          <w:rFonts w:eastAsia="Times New Roman"/>
        </w:rPr>
        <w:t>We have continued to invest in our people with some important additions made to the team during the year. In July 2022 a new role was created, Head of Credit, and we were delighted to recruit a high-calibre individual with appropriate skills and experience to enable the business to take on larger and more complex asset finance business. Overall, within the Hard Asset section of the Asset Finance division, the average deal size increased from £22k to £36k between May 2022 and May 2023. There has also been an increase over the same timeframe in the single customer exposure limit from £500k to £750k. Another key focus of recruitment was around Business Improvement and our efforts to drive efficiency and focus on enhancing the customer journey. A number of key benefits have been delivered over the last twelve months in this regard, including significant improvements to our core Asset Finance operating system; introducing electronic document signing in the Invoice Finance division; and the launch of a new HR system allowing us to automate our employee appraisal and performance management process.</w:t>
      </w:r>
    </w:p>
    <w:p w14:paraId="5571FB7D" w14:textId="77777777" w:rsidR="00592900" w:rsidRPr="00592900" w:rsidRDefault="00592900" w:rsidP="00592900">
      <w:pPr>
        <w:spacing w:after="0" w:line="240" w:lineRule="auto"/>
        <w:ind w:right="-23"/>
        <w:jc w:val="both"/>
        <w:rPr>
          <w:rFonts w:eastAsia="Times New Roman"/>
        </w:rPr>
      </w:pPr>
    </w:p>
    <w:p w14:paraId="10C9C4DA" w14:textId="77777777" w:rsidR="00592900" w:rsidRPr="00592900" w:rsidRDefault="00592900" w:rsidP="00592900">
      <w:pPr>
        <w:spacing w:after="0" w:line="240" w:lineRule="auto"/>
        <w:ind w:right="-23"/>
        <w:jc w:val="both"/>
        <w:rPr>
          <w:rFonts w:eastAsia="Times New Roman"/>
        </w:rPr>
      </w:pPr>
      <w:r w:rsidRPr="00592900">
        <w:rPr>
          <w:rFonts w:eastAsia="Times New Roman"/>
        </w:rPr>
        <w:t xml:space="preserve">There has been a concerted effort to support teams across the business given the pressure on cost-of-living expenses, and this has been positively received. Communication has also been improved through the provision of regular webinars and in person “Team Talks” at our four office locations in Bath, Reading, Manchester and Warrington, with the objective of maximising engagement across the business. The entire team was also brought together for the first time since the pandemic at an all-staff conference held in March 2023. This proved to be a highly successful event which we will be looking to repeat in the future. We will also be measuring the level of engagement through a formal colleague survey due to take place in the Autumn of 2023. </w:t>
      </w:r>
    </w:p>
    <w:p w14:paraId="27919BE4" w14:textId="77777777" w:rsidR="00592900" w:rsidRPr="00592900" w:rsidRDefault="00592900" w:rsidP="00592900">
      <w:pPr>
        <w:spacing w:after="0" w:line="240" w:lineRule="auto"/>
        <w:ind w:right="-23"/>
        <w:jc w:val="both"/>
        <w:rPr>
          <w:rFonts w:eastAsia="Times New Roman"/>
        </w:rPr>
      </w:pPr>
    </w:p>
    <w:p w14:paraId="18163240" w14:textId="77777777" w:rsidR="00592900" w:rsidRPr="00592900" w:rsidRDefault="00592900" w:rsidP="00592900">
      <w:pPr>
        <w:spacing w:after="0" w:line="240" w:lineRule="auto"/>
        <w:ind w:right="-23"/>
        <w:jc w:val="both"/>
        <w:rPr>
          <w:rFonts w:eastAsia="Times New Roman"/>
        </w:rPr>
      </w:pPr>
      <w:r w:rsidRPr="00592900">
        <w:rPr>
          <w:rFonts w:eastAsia="Times New Roman"/>
        </w:rPr>
        <w:t>Tanya Raynes’s first full year in the Chair role has also been a significant benefit and I am grateful for her support and guidance during the year.</w:t>
      </w:r>
    </w:p>
    <w:p w14:paraId="26929279" w14:textId="77777777" w:rsidR="00592900" w:rsidRPr="00592900" w:rsidRDefault="00592900" w:rsidP="00592900">
      <w:pPr>
        <w:spacing w:after="0" w:line="240" w:lineRule="auto"/>
        <w:ind w:right="-23"/>
        <w:jc w:val="both"/>
        <w:rPr>
          <w:rFonts w:eastAsia="Times New Roman"/>
        </w:rPr>
      </w:pPr>
    </w:p>
    <w:p w14:paraId="600A01E6" w14:textId="77777777" w:rsidR="00592900" w:rsidRPr="00592900" w:rsidRDefault="00592900" w:rsidP="00592900">
      <w:pPr>
        <w:spacing w:after="0" w:line="240" w:lineRule="auto"/>
        <w:ind w:right="-23"/>
        <w:jc w:val="both"/>
        <w:rPr>
          <w:rFonts w:eastAsia="Times New Roman"/>
          <w:b/>
        </w:rPr>
      </w:pPr>
      <w:r w:rsidRPr="00592900">
        <w:rPr>
          <w:rFonts w:eastAsia="Times New Roman"/>
          <w:b/>
        </w:rPr>
        <w:t>Culture, compliance and governance</w:t>
      </w:r>
    </w:p>
    <w:p w14:paraId="7AF7BB81" w14:textId="77777777" w:rsidR="00592900" w:rsidRPr="00592900" w:rsidRDefault="00592900" w:rsidP="00592900">
      <w:pPr>
        <w:spacing w:after="0" w:line="240" w:lineRule="auto"/>
        <w:ind w:right="-23"/>
        <w:jc w:val="both"/>
        <w:rPr>
          <w:rFonts w:eastAsia="Times New Roman"/>
        </w:rPr>
      </w:pPr>
      <w:r w:rsidRPr="00592900">
        <w:rPr>
          <w:rFonts w:eastAsia="Times New Roman"/>
        </w:rPr>
        <w:t>Time Finance is a customer focused business, and its purpose is “</w:t>
      </w:r>
      <w:r w:rsidRPr="00592900">
        <w:rPr>
          <w:rFonts w:eastAsia="Times New Roman"/>
          <w:i/>
          <w:iCs/>
        </w:rPr>
        <w:t>to</w:t>
      </w:r>
      <w:r w:rsidRPr="00592900">
        <w:rPr>
          <w:rFonts w:eastAsia="Times New Roman"/>
        </w:rPr>
        <w:t xml:space="preserve"> </w:t>
      </w:r>
      <w:r w:rsidRPr="00592900">
        <w:rPr>
          <w:rFonts w:eastAsia="Times New Roman"/>
          <w:i/>
          <w:iCs/>
        </w:rPr>
        <w:t>help UK businesses thrive and survive</w:t>
      </w:r>
      <w:r w:rsidRPr="00592900">
        <w:rPr>
          <w:rFonts w:eastAsia="Times New Roman"/>
        </w:rPr>
        <w:t>”. During the later part of the financial year, we took the opportunity to refresh and relaunch our cultural values, and these are shown below.</w:t>
      </w:r>
    </w:p>
    <w:p w14:paraId="0CE133BC" w14:textId="77777777" w:rsidR="00592900" w:rsidRPr="00592900" w:rsidRDefault="00592900" w:rsidP="00592900">
      <w:pPr>
        <w:spacing w:after="0" w:line="240" w:lineRule="auto"/>
        <w:ind w:right="-23"/>
        <w:jc w:val="both"/>
        <w:rPr>
          <w:rFonts w:eastAsia="Times New Roman"/>
        </w:rPr>
      </w:pPr>
    </w:p>
    <w:p w14:paraId="4A5C2FB6" w14:textId="77777777" w:rsidR="00592900" w:rsidRDefault="00592900" w:rsidP="00592900">
      <w:pPr>
        <w:numPr>
          <w:ilvl w:val="0"/>
          <w:numId w:val="47"/>
        </w:numPr>
        <w:spacing w:after="0" w:line="240" w:lineRule="auto"/>
        <w:ind w:left="426" w:right="-23" w:hanging="426"/>
        <w:jc w:val="both"/>
        <w:rPr>
          <w:rFonts w:eastAsia="Times New Roman"/>
        </w:rPr>
      </w:pPr>
      <w:r w:rsidRPr="00592900">
        <w:rPr>
          <w:rFonts w:eastAsia="Times New Roman"/>
          <w:b/>
          <w:bCs/>
        </w:rPr>
        <w:t>We Put People First</w:t>
      </w:r>
      <w:r w:rsidRPr="00592900">
        <w:rPr>
          <w:rFonts w:eastAsia="Times New Roman"/>
        </w:rPr>
        <w:t xml:space="preserve"> - </w:t>
      </w:r>
      <w:r w:rsidRPr="00592900">
        <w:rPr>
          <w:rFonts w:eastAsia="Times New Roman"/>
          <w:lang w:val="en-US"/>
        </w:rPr>
        <w:t>We are a “people business”, empowering all our colleagues to make a difference</w:t>
      </w:r>
    </w:p>
    <w:p w14:paraId="0B96AC87" w14:textId="77777777" w:rsidR="00592900" w:rsidRDefault="00592900" w:rsidP="00592900">
      <w:pPr>
        <w:numPr>
          <w:ilvl w:val="0"/>
          <w:numId w:val="47"/>
        </w:numPr>
        <w:spacing w:after="0" w:line="240" w:lineRule="auto"/>
        <w:ind w:left="426" w:right="-23" w:hanging="426"/>
        <w:jc w:val="both"/>
        <w:rPr>
          <w:rFonts w:eastAsia="Times New Roman"/>
        </w:rPr>
      </w:pPr>
      <w:r w:rsidRPr="00592900">
        <w:rPr>
          <w:rFonts w:eastAsia="Times New Roman"/>
          <w:b/>
          <w:bCs/>
        </w:rPr>
        <w:t>We Are Bold</w:t>
      </w:r>
      <w:r w:rsidRPr="00592900">
        <w:rPr>
          <w:rFonts w:eastAsia="Times New Roman"/>
        </w:rPr>
        <w:t xml:space="preserve"> - </w:t>
      </w:r>
      <w:r w:rsidRPr="00592900">
        <w:rPr>
          <w:rFonts w:eastAsia="Times New Roman"/>
          <w:lang w:val="en-US"/>
        </w:rPr>
        <w:t>We have the courage to do things differently and make the most of our opportunities</w:t>
      </w:r>
    </w:p>
    <w:p w14:paraId="3346883B" w14:textId="77777777" w:rsidR="00592900" w:rsidRDefault="00592900" w:rsidP="00592900">
      <w:pPr>
        <w:numPr>
          <w:ilvl w:val="0"/>
          <w:numId w:val="47"/>
        </w:numPr>
        <w:spacing w:after="0" w:line="240" w:lineRule="auto"/>
        <w:ind w:left="426" w:right="-23" w:hanging="426"/>
        <w:jc w:val="both"/>
        <w:rPr>
          <w:rFonts w:eastAsia="Times New Roman"/>
        </w:rPr>
      </w:pPr>
      <w:r w:rsidRPr="00592900">
        <w:rPr>
          <w:rFonts w:eastAsia="Times New Roman"/>
          <w:b/>
          <w:bCs/>
        </w:rPr>
        <w:t>We Are Flexible</w:t>
      </w:r>
      <w:r w:rsidRPr="00592900">
        <w:rPr>
          <w:rFonts w:eastAsia="Times New Roman"/>
        </w:rPr>
        <w:t xml:space="preserve"> - </w:t>
      </w:r>
      <w:r w:rsidRPr="00592900">
        <w:rPr>
          <w:rFonts w:eastAsia="Times New Roman"/>
          <w:lang w:val="en-US"/>
        </w:rPr>
        <w:t>We have a can-do attitude and take a commercial approach to business</w:t>
      </w:r>
    </w:p>
    <w:p w14:paraId="4794A16A" w14:textId="011239F8" w:rsidR="00592900" w:rsidRPr="00592900" w:rsidRDefault="00592900" w:rsidP="00592900">
      <w:pPr>
        <w:numPr>
          <w:ilvl w:val="0"/>
          <w:numId w:val="47"/>
        </w:numPr>
        <w:spacing w:after="0" w:line="240" w:lineRule="auto"/>
        <w:ind w:left="426" w:right="-23" w:hanging="426"/>
        <w:jc w:val="both"/>
        <w:rPr>
          <w:rFonts w:eastAsia="Times New Roman"/>
        </w:rPr>
      </w:pPr>
      <w:r w:rsidRPr="00592900">
        <w:rPr>
          <w:rFonts w:eastAsia="Times New Roman"/>
          <w:b/>
          <w:bCs/>
          <w:lang w:val="en-US"/>
        </w:rPr>
        <w:t>We Are Genuine</w:t>
      </w:r>
      <w:r w:rsidRPr="00592900">
        <w:rPr>
          <w:rFonts w:eastAsia="Times New Roman"/>
        </w:rPr>
        <w:t xml:space="preserve"> - </w:t>
      </w:r>
      <w:r w:rsidRPr="00592900">
        <w:rPr>
          <w:rFonts w:eastAsia="Times New Roman"/>
          <w:lang w:val="en-US"/>
        </w:rPr>
        <w:t>Integrity and transparency are at the heart of how we build trust and foster great relationships</w:t>
      </w:r>
    </w:p>
    <w:p w14:paraId="2C013261" w14:textId="77777777" w:rsidR="00592900" w:rsidRPr="00592900" w:rsidRDefault="00592900" w:rsidP="00592900">
      <w:pPr>
        <w:spacing w:after="0" w:line="240" w:lineRule="auto"/>
        <w:ind w:right="-23"/>
        <w:jc w:val="both"/>
        <w:rPr>
          <w:rFonts w:eastAsia="Times New Roman"/>
        </w:rPr>
      </w:pPr>
    </w:p>
    <w:p w14:paraId="44F68908" w14:textId="77777777" w:rsidR="00592900" w:rsidRPr="00592900" w:rsidRDefault="00592900" w:rsidP="00592900">
      <w:pPr>
        <w:spacing w:after="0" w:line="240" w:lineRule="auto"/>
        <w:ind w:right="-23"/>
        <w:jc w:val="both"/>
        <w:rPr>
          <w:rFonts w:eastAsia="Times New Roman"/>
        </w:rPr>
      </w:pPr>
      <w:r w:rsidRPr="00592900">
        <w:rPr>
          <w:rFonts w:eastAsia="Times New Roman"/>
        </w:rPr>
        <w:t xml:space="preserve">A plan has been agreed as to how these values will be embedded into the day-to-day business and this is a key priority for the new financial year.  </w:t>
      </w:r>
    </w:p>
    <w:p w14:paraId="40F3D0EC" w14:textId="77777777" w:rsidR="00592900" w:rsidRPr="00592900" w:rsidRDefault="00592900" w:rsidP="00592900">
      <w:pPr>
        <w:spacing w:after="0" w:line="240" w:lineRule="auto"/>
        <w:ind w:right="-23"/>
        <w:jc w:val="both"/>
        <w:rPr>
          <w:rFonts w:eastAsia="Times New Roman"/>
        </w:rPr>
      </w:pPr>
    </w:p>
    <w:p w14:paraId="64A2BF7B" w14:textId="77777777" w:rsidR="00592900" w:rsidRPr="00592900" w:rsidRDefault="00592900" w:rsidP="00592900">
      <w:pPr>
        <w:spacing w:after="0" w:line="240" w:lineRule="auto"/>
        <w:ind w:right="-23"/>
        <w:jc w:val="both"/>
        <w:rPr>
          <w:rFonts w:eastAsia="Times New Roman"/>
        </w:rPr>
      </w:pPr>
      <w:r w:rsidRPr="00592900">
        <w:rPr>
          <w:rFonts w:eastAsia="Times New Roman"/>
        </w:rPr>
        <w:t>We continue to have high standards for compliance and governance for all our activities, referenced to the principles and guidelines of the Financial Conduct Authority and the codes of conduct of the relevant industry bodies. All colleagues are required to act in accordance with our cultural values to uphold the following:</w:t>
      </w:r>
    </w:p>
    <w:p w14:paraId="5298B20A" w14:textId="77777777" w:rsidR="00592900" w:rsidRPr="00592900" w:rsidRDefault="00592900" w:rsidP="00592900">
      <w:pPr>
        <w:spacing w:after="0" w:line="240" w:lineRule="auto"/>
        <w:ind w:right="-23"/>
        <w:jc w:val="both"/>
        <w:rPr>
          <w:rFonts w:eastAsia="Times New Roman"/>
        </w:rPr>
      </w:pPr>
    </w:p>
    <w:p w14:paraId="775C7605" w14:textId="77777777" w:rsidR="00592900" w:rsidRDefault="00592900" w:rsidP="00592900">
      <w:pPr>
        <w:numPr>
          <w:ilvl w:val="0"/>
          <w:numId w:val="45"/>
        </w:numPr>
        <w:spacing w:after="0" w:line="240" w:lineRule="auto"/>
        <w:ind w:left="426" w:right="-23"/>
        <w:jc w:val="both"/>
        <w:rPr>
          <w:rFonts w:eastAsia="Times New Roman"/>
        </w:rPr>
      </w:pPr>
      <w:r w:rsidRPr="00592900">
        <w:rPr>
          <w:rFonts w:eastAsia="Times New Roman"/>
        </w:rPr>
        <w:t>To act with integrity, due skill, care and diligence</w:t>
      </w:r>
    </w:p>
    <w:p w14:paraId="0FC56857" w14:textId="77777777" w:rsidR="00592900" w:rsidRDefault="00592900" w:rsidP="00592900">
      <w:pPr>
        <w:numPr>
          <w:ilvl w:val="0"/>
          <w:numId w:val="45"/>
        </w:numPr>
        <w:spacing w:after="0" w:line="240" w:lineRule="auto"/>
        <w:ind w:left="426" w:right="-23"/>
        <w:jc w:val="both"/>
        <w:rPr>
          <w:rFonts w:eastAsia="Times New Roman"/>
        </w:rPr>
      </w:pPr>
      <w:r w:rsidRPr="00592900">
        <w:rPr>
          <w:rFonts w:eastAsia="Times New Roman"/>
        </w:rPr>
        <w:t>To be open and cooperative with regulators</w:t>
      </w:r>
    </w:p>
    <w:p w14:paraId="7F8A86DB" w14:textId="0E19D322" w:rsidR="00592900" w:rsidRPr="00592900" w:rsidRDefault="00592900" w:rsidP="00592900">
      <w:pPr>
        <w:numPr>
          <w:ilvl w:val="0"/>
          <w:numId w:val="45"/>
        </w:numPr>
        <w:spacing w:after="0" w:line="240" w:lineRule="auto"/>
        <w:ind w:left="426" w:right="-23"/>
        <w:jc w:val="both"/>
        <w:rPr>
          <w:rFonts w:eastAsia="Times New Roman"/>
        </w:rPr>
      </w:pPr>
      <w:r w:rsidRPr="00592900">
        <w:rPr>
          <w:rFonts w:eastAsia="Times New Roman"/>
        </w:rPr>
        <w:t>To pay due regard to the interests of customers and clients and treat them fairly</w:t>
      </w:r>
    </w:p>
    <w:p w14:paraId="6F0D3F88" w14:textId="77777777" w:rsidR="00592900" w:rsidRPr="00592900" w:rsidRDefault="00592900" w:rsidP="00592900">
      <w:pPr>
        <w:spacing w:after="0" w:line="240" w:lineRule="auto"/>
        <w:ind w:right="-23"/>
        <w:jc w:val="both"/>
        <w:rPr>
          <w:rFonts w:eastAsia="Times New Roman"/>
        </w:rPr>
      </w:pPr>
    </w:p>
    <w:p w14:paraId="6A4B262F" w14:textId="77777777" w:rsidR="00592900" w:rsidRPr="00592900" w:rsidRDefault="00592900" w:rsidP="00592900">
      <w:pPr>
        <w:spacing w:after="0" w:line="240" w:lineRule="auto"/>
        <w:ind w:right="-23"/>
        <w:jc w:val="both"/>
        <w:rPr>
          <w:rFonts w:eastAsia="Times New Roman"/>
          <w:b/>
        </w:rPr>
      </w:pPr>
      <w:r w:rsidRPr="00592900">
        <w:rPr>
          <w:rFonts w:eastAsia="Times New Roman"/>
          <w:b/>
        </w:rPr>
        <w:t>Outlook</w:t>
      </w:r>
    </w:p>
    <w:p w14:paraId="6004DAEC" w14:textId="77777777" w:rsidR="00592900" w:rsidRPr="00592900" w:rsidRDefault="00592900" w:rsidP="00592900">
      <w:pPr>
        <w:spacing w:after="0" w:line="240" w:lineRule="auto"/>
        <w:ind w:right="-23"/>
        <w:jc w:val="both"/>
        <w:rPr>
          <w:rFonts w:eastAsia="Times New Roman"/>
          <w:bCs/>
        </w:rPr>
      </w:pPr>
      <w:r w:rsidRPr="00592900">
        <w:rPr>
          <w:rFonts w:eastAsia="Times New Roman"/>
          <w:bCs/>
        </w:rPr>
        <w:t>Given the significant challenges faced by SMEs in the shape of increased interest rates and inflationary costs, the provision of finance will be more important than ever over the coming twelve months. This presents both opportunities and threats to alternative lenders such as Time Finance and getting the balance right in how these are managed will determine the level of success we can achieve. With the senior management team we now have in place and the work that has been undertaken over the last two years to re-engineer the business, I believe we are well placed to succeed and continue to grow in a responsible manner.</w:t>
      </w:r>
    </w:p>
    <w:p w14:paraId="65E7127A" w14:textId="77777777" w:rsidR="003B6703" w:rsidRPr="007F4514" w:rsidRDefault="003B6703" w:rsidP="003B6703">
      <w:pPr>
        <w:spacing w:after="0" w:line="240" w:lineRule="auto"/>
        <w:ind w:right="-23"/>
        <w:jc w:val="both"/>
        <w:rPr>
          <w:rFonts w:eastAsia="Times New Roman"/>
          <w:b/>
          <w:color w:val="FF0000"/>
        </w:rPr>
      </w:pPr>
    </w:p>
    <w:p w14:paraId="7FB6BA0A" w14:textId="77777777" w:rsidR="006F42E3" w:rsidRPr="003904A5" w:rsidRDefault="006F42E3" w:rsidP="003B6703">
      <w:pPr>
        <w:spacing w:after="0" w:line="240" w:lineRule="auto"/>
        <w:ind w:right="-23"/>
        <w:jc w:val="both"/>
        <w:rPr>
          <w:rFonts w:eastAsia="Times New Roman" w:cstheme="minorHAnsi"/>
          <w:b/>
        </w:rPr>
      </w:pPr>
    </w:p>
    <w:p w14:paraId="7F65A378" w14:textId="77777777" w:rsidR="003904A5" w:rsidRPr="003904A5" w:rsidRDefault="003904A5" w:rsidP="003904A5">
      <w:pPr>
        <w:tabs>
          <w:tab w:val="left" w:pos="0"/>
        </w:tabs>
        <w:spacing w:after="0" w:line="240" w:lineRule="auto"/>
        <w:ind w:right="-23"/>
        <w:jc w:val="both"/>
        <w:rPr>
          <w:rFonts w:eastAsia="Times New Roman" w:cstheme="minorHAnsi"/>
          <w:b/>
        </w:rPr>
      </w:pPr>
      <w:r w:rsidRPr="003904A5">
        <w:rPr>
          <w:rFonts w:eastAsia="Times New Roman" w:cstheme="minorHAnsi"/>
          <w:b/>
        </w:rPr>
        <w:t>Ed Rimmer</w:t>
      </w:r>
    </w:p>
    <w:p w14:paraId="46FF61C6" w14:textId="253A1216" w:rsidR="00696DD1" w:rsidRDefault="003904A5" w:rsidP="00575747">
      <w:pPr>
        <w:tabs>
          <w:tab w:val="left" w:pos="0"/>
        </w:tabs>
        <w:spacing w:after="0" w:line="240" w:lineRule="auto"/>
        <w:ind w:right="-23"/>
        <w:jc w:val="both"/>
        <w:rPr>
          <w:rFonts w:eastAsia="Times New Roman" w:cstheme="minorHAnsi"/>
          <w:bCs/>
          <w:color w:val="000000"/>
          <w:lang w:eastAsia="en-GB"/>
        </w:rPr>
      </w:pPr>
      <w:r w:rsidRPr="003904A5">
        <w:rPr>
          <w:rFonts w:eastAsia="Times New Roman" w:cstheme="minorHAnsi"/>
          <w:bCs/>
        </w:rPr>
        <w:t>Chief Executive Offi</w:t>
      </w:r>
      <w:r w:rsidRPr="00B16D6A">
        <w:rPr>
          <w:rFonts w:eastAsia="Times New Roman" w:cstheme="minorHAnsi"/>
          <w:bCs/>
        </w:rPr>
        <w:t>cer</w:t>
      </w:r>
      <w:r w:rsidR="002C6255">
        <w:rPr>
          <w:rFonts w:eastAsia="Times New Roman" w:cstheme="minorHAnsi"/>
          <w:bCs/>
        </w:rPr>
        <w:t xml:space="preserve"> - </w:t>
      </w:r>
      <w:r w:rsidR="00B16D6A" w:rsidRPr="00B16D6A">
        <w:rPr>
          <w:rFonts w:eastAsia="Times New Roman" w:cstheme="minorHAnsi"/>
          <w:bCs/>
          <w:color w:val="000000"/>
          <w:lang w:eastAsia="en-GB"/>
        </w:rPr>
        <w:t>2</w:t>
      </w:r>
      <w:r w:rsidR="0056117F">
        <w:rPr>
          <w:rFonts w:eastAsia="Times New Roman" w:cstheme="minorHAnsi"/>
          <w:bCs/>
          <w:color w:val="000000"/>
          <w:lang w:eastAsia="en-GB"/>
        </w:rPr>
        <w:t>6</w:t>
      </w:r>
      <w:r w:rsidR="00B16D6A" w:rsidRPr="00B16D6A">
        <w:rPr>
          <w:rFonts w:eastAsia="Times New Roman" w:cstheme="minorHAnsi"/>
          <w:bCs/>
          <w:color w:val="000000"/>
          <w:lang w:eastAsia="en-GB"/>
        </w:rPr>
        <w:t xml:space="preserve"> September 2002</w:t>
      </w:r>
    </w:p>
    <w:p w14:paraId="7F0BBE1F" w14:textId="77777777" w:rsidR="00696DD1" w:rsidRDefault="00696DD1" w:rsidP="00575747">
      <w:pPr>
        <w:tabs>
          <w:tab w:val="left" w:pos="0"/>
        </w:tabs>
        <w:spacing w:after="0" w:line="240" w:lineRule="auto"/>
        <w:ind w:right="-23"/>
        <w:jc w:val="both"/>
        <w:rPr>
          <w:rFonts w:eastAsia="Times New Roman" w:cstheme="minorHAnsi"/>
          <w:bCs/>
          <w:color w:val="000000"/>
          <w:lang w:eastAsia="en-GB"/>
        </w:rPr>
      </w:pPr>
    </w:p>
    <w:p w14:paraId="3E9D4DDE" w14:textId="77777777" w:rsidR="00696DD1" w:rsidRDefault="00696DD1" w:rsidP="00575747">
      <w:pPr>
        <w:tabs>
          <w:tab w:val="left" w:pos="0"/>
        </w:tabs>
        <w:spacing w:after="0" w:line="240" w:lineRule="auto"/>
        <w:ind w:right="-23"/>
        <w:jc w:val="both"/>
        <w:rPr>
          <w:rFonts w:eastAsia="Times New Roman" w:cstheme="minorHAnsi"/>
          <w:bCs/>
          <w:color w:val="000000"/>
          <w:lang w:eastAsia="en-GB"/>
        </w:rPr>
      </w:pPr>
    </w:p>
    <w:p w14:paraId="13330217" w14:textId="77777777" w:rsidR="00696DD1" w:rsidRDefault="00696DD1" w:rsidP="00575747">
      <w:pPr>
        <w:tabs>
          <w:tab w:val="left" w:pos="0"/>
        </w:tabs>
        <w:spacing w:after="0" w:line="240" w:lineRule="auto"/>
        <w:ind w:right="-23"/>
        <w:jc w:val="both"/>
        <w:rPr>
          <w:rFonts w:eastAsia="Times New Roman" w:cstheme="minorHAnsi"/>
          <w:bCs/>
          <w:color w:val="000000"/>
          <w:lang w:eastAsia="en-GB"/>
        </w:rPr>
      </w:pPr>
    </w:p>
    <w:p w14:paraId="4071C281" w14:textId="4E56C89D" w:rsidR="009B3076" w:rsidRPr="00696DD1" w:rsidRDefault="009B3076" w:rsidP="00575747">
      <w:pPr>
        <w:tabs>
          <w:tab w:val="left" w:pos="0"/>
        </w:tabs>
        <w:spacing w:after="0" w:line="240" w:lineRule="auto"/>
        <w:ind w:right="-23"/>
        <w:jc w:val="both"/>
        <w:rPr>
          <w:rFonts w:eastAsia="Times New Roman" w:cstheme="minorHAnsi"/>
          <w:bCs/>
          <w:color w:val="000000"/>
          <w:lang w:eastAsia="en-GB"/>
        </w:rPr>
      </w:pPr>
      <w:r w:rsidRPr="00575747">
        <w:rPr>
          <w:rFonts w:cstheme="minorHAnsi"/>
          <w:b/>
          <w:bCs/>
        </w:rPr>
        <w:t xml:space="preserve">Group Strategic Priorities </w:t>
      </w:r>
    </w:p>
    <w:p w14:paraId="63A2F163" w14:textId="37DA2792" w:rsidR="00575747" w:rsidRPr="00575747" w:rsidRDefault="00575747" w:rsidP="00575747">
      <w:pPr>
        <w:tabs>
          <w:tab w:val="left" w:pos="0"/>
        </w:tabs>
        <w:spacing w:after="0" w:line="240" w:lineRule="auto"/>
        <w:ind w:right="-23"/>
        <w:jc w:val="both"/>
        <w:rPr>
          <w:rFonts w:cstheme="minorHAnsi"/>
          <w:b/>
          <w:bCs/>
        </w:rPr>
      </w:pPr>
      <w:r>
        <w:rPr>
          <w:rFonts w:cstheme="minorHAnsi"/>
          <w:b/>
          <w:bCs/>
        </w:rPr>
        <w:t xml:space="preserve">For year ended 31 May </w:t>
      </w:r>
      <w:r w:rsidR="00C71382">
        <w:rPr>
          <w:rFonts w:cstheme="minorHAnsi"/>
          <w:b/>
          <w:bCs/>
        </w:rPr>
        <w:t>2023</w:t>
      </w:r>
    </w:p>
    <w:p w14:paraId="1C543D6D" w14:textId="77777777" w:rsidR="0004138D" w:rsidRDefault="0004138D" w:rsidP="007B296C">
      <w:pPr>
        <w:tabs>
          <w:tab w:val="left" w:pos="0"/>
          <w:tab w:val="left" w:pos="709"/>
        </w:tabs>
        <w:spacing w:after="0" w:line="240" w:lineRule="auto"/>
        <w:ind w:right="-23"/>
        <w:jc w:val="both"/>
        <w:rPr>
          <w:bCs/>
        </w:rPr>
      </w:pPr>
    </w:p>
    <w:p w14:paraId="63CE9ADA" w14:textId="77777777" w:rsidR="0004138D" w:rsidRPr="0004138D" w:rsidRDefault="0004138D" w:rsidP="0004138D">
      <w:pPr>
        <w:tabs>
          <w:tab w:val="left" w:pos="0"/>
          <w:tab w:val="left" w:pos="709"/>
        </w:tabs>
        <w:spacing w:after="0" w:line="240" w:lineRule="auto"/>
        <w:ind w:right="-23"/>
        <w:jc w:val="both"/>
        <w:rPr>
          <w:bCs/>
        </w:rPr>
      </w:pPr>
      <w:r w:rsidRPr="0004138D">
        <w:rPr>
          <w:bCs/>
        </w:rPr>
        <w:t>Time Finance continues to be an alternative provider of finance to the high-street and challenger banks, serving predominantly SMEs with finance requirements ranging from £5,000 to £2.5m. The Group primarily provides Invoice Finance and Asset Finance and, to a lesser degree, Commercial Loans. It lends mainly from its own balance sheet but with the ability to broker-on business that does not meet lending parameters.  This would mainly be due to the size of a transaction, pricing or credit quality.</w:t>
      </w:r>
    </w:p>
    <w:p w14:paraId="08178E91" w14:textId="77777777" w:rsidR="0004138D" w:rsidRPr="0004138D" w:rsidRDefault="0004138D" w:rsidP="0004138D">
      <w:pPr>
        <w:tabs>
          <w:tab w:val="left" w:pos="0"/>
          <w:tab w:val="left" w:pos="709"/>
        </w:tabs>
        <w:spacing w:after="0" w:line="240" w:lineRule="auto"/>
        <w:ind w:right="-23"/>
        <w:jc w:val="both"/>
        <w:rPr>
          <w:bCs/>
        </w:rPr>
      </w:pPr>
    </w:p>
    <w:p w14:paraId="0AC4FD56" w14:textId="77777777" w:rsidR="0004138D" w:rsidRPr="0004138D" w:rsidRDefault="0004138D" w:rsidP="0004138D">
      <w:pPr>
        <w:tabs>
          <w:tab w:val="left" w:pos="0"/>
          <w:tab w:val="left" w:pos="709"/>
        </w:tabs>
        <w:spacing w:after="0" w:line="240" w:lineRule="auto"/>
        <w:ind w:right="-23"/>
        <w:jc w:val="both"/>
        <w:rPr>
          <w:bCs/>
        </w:rPr>
      </w:pPr>
      <w:r w:rsidRPr="0004138D">
        <w:rPr>
          <w:bCs/>
        </w:rPr>
        <w:t xml:space="preserve">In June 2021, a new, four-year strategic plan was put in place. At the time, the UK economy was still recovering from the Covid-19 pandemic, with all businesses facing significant uncertainty. As mentioned in the previous sections, this uncertainty has increased over the last two years, however, SMEs have proved to be extremely resilient.  This is in part due to the support provided by alternative lenders such as ourselves and we are proud to play our part in helping UK businesses thrive and survive. </w:t>
      </w:r>
    </w:p>
    <w:p w14:paraId="4237899C" w14:textId="77777777" w:rsidR="0004138D" w:rsidRPr="0004138D" w:rsidRDefault="0004138D" w:rsidP="0004138D">
      <w:pPr>
        <w:tabs>
          <w:tab w:val="left" w:pos="0"/>
          <w:tab w:val="left" w:pos="709"/>
        </w:tabs>
        <w:spacing w:after="0" w:line="240" w:lineRule="auto"/>
        <w:ind w:right="-23"/>
        <w:jc w:val="both"/>
        <w:rPr>
          <w:b/>
          <w:bCs/>
        </w:rPr>
      </w:pPr>
    </w:p>
    <w:p w14:paraId="67A6F671" w14:textId="77777777" w:rsidR="0004138D" w:rsidRPr="0004138D" w:rsidRDefault="0004138D" w:rsidP="0004138D">
      <w:pPr>
        <w:tabs>
          <w:tab w:val="left" w:pos="0"/>
          <w:tab w:val="left" w:pos="709"/>
        </w:tabs>
        <w:spacing w:after="0" w:line="240" w:lineRule="auto"/>
        <w:ind w:right="-23"/>
        <w:jc w:val="both"/>
        <w:rPr>
          <w:b/>
          <w:bCs/>
        </w:rPr>
      </w:pPr>
      <w:r w:rsidRPr="0004138D">
        <w:rPr>
          <w:b/>
          <w:bCs/>
        </w:rPr>
        <w:t>Strategic Objectives</w:t>
      </w:r>
    </w:p>
    <w:p w14:paraId="0B4945EA" w14:textId="77777777" w:rsidR="0004138D" w:rsidRPr="0004138D" w:rsidRDefault="0004138D" w:rsidP="0004138D">
      <w:pPr>
        <w:tabs>
          <w:tab w:val="left" w:pos="0"/>
          <w:tab w:val="left" w:pos="709"/>
        </w:tabs>
        <w:spacing w:after="0" w:line="240" w:lineRule="auto"/>
        <w:ind w:right="-23"/>
        <w:jc w:val="both"/>
        <w:rPr>
          <w:bCs/>
        </w:rPr>
      </w:pPr>
      <w:r w:rsidRPr="0004138D">
        <w:rPr>
          <w:bCs/>
        </w:rPr>
        <w:t>The key objectives of the four-year plan to 31 May 2025 are to:</w:t>
      </w:r>
    </w:p>
    <w:p w14:paraId="150BD4F6" w14:textId="77777777" w:rsidR="0004138D" w:rsidRPr="0004138D" w:rsidRDefault="0004138D" w:rsidP="0004138D">
      <w:pPr>
        <w:tabs>
          <w:tab w:val="left" w:pos="0"/>
          <w:tab w:val="left" w:pos="709"/>
        </w:tabs>
        <w:spacing w:after="0" w:line="240" w:lineRule="auto"/>
        <w:ind w:right="-23"/>
        <w:jc w:val="both"/>
        <w:rPr>
          <w:bCs/>
        </w:rPr>
      </w:pPr>
    </w:p>
    <w:p w14:paraId="01F5A8A1" w14:textId="77777777" w:rsidR="0004138D" w:rsidRPr="0004138D" w:rsidRDefault="0004138D" w:rsidP="0004138D">
      <w:pPr>
        <w:numPr>
          <w:ilvl w:val="0"/>
          <w:numId w:val="37"/>
        </w:numPr>
        <w:tabs>
          <w:tab w:val="left" w:pos="0"/>
          <w:tab w:val="left" w:pos="709"/>
        </w:tabs>
        <w:spacing w:after="0" w:line="240" w:lineRule="auto"/>
        <w:ind w:right="-23"/>
        <w:jc w:val="both"/>
        <w:rPr>
          <w:bCs/>
        </w:rPr>
      </w:pPr>
      <w:r w:rsidRPr="0004138D">
        <w:rPr>
          <w:bCs/>
        </w:rPr>
        <w:t>More than double the Group’s gross lending book from £115m as at June 2021</w:t>
      </w:r>
    </w:p>
    <w:p w14:paraId="4852D200" w14:textId="77777777" w:rsidR="0004138D" w:rsidRPr="0004138D" w:rsidRDefault="0004138D" w:rsidP="0004138D">
      <w:pPr>
        <w:numPr>
          <w:ilvl w:val="0"/>
          <w:numId w:val="37"/>
        </w:numPr>
        <w:tabs>
          <w:tab w:val="left" w:pos="0"/>
          <w:tab w:val="left" w:pos="709"/>
        </w:tabs>
        <w:spacing w:after="0" w:line="240" w:lineRule="auto"/>
        <w:ind w:right="-23"/>
        <w:jc w:val="both"/>
        <w:rPr>
          <w:bCs/>
        </w:rPr>
      </w:pPr>
      <w:r w:rsidRPr="0004138D">
        <w:rPr>
          <w:bCs/>
        </w:rPr>
        <w:t xml:space="preserve">Achieve revenue and PBTE levels in excess of £30m and £7m respectively </w:t>
      </w:r>
    </w:p>
    <w:p w14:paraId="2C4F159B" w14:textId="77777777" w:rsidR="0004138D" w:rsidRPr="0004138D" w:rsidRDefault="0004138D" w:rsidP="0004138D">
      <w:pPr>
        <w:tabs>
          <w:tab w:val="left" w:pos="0"/>
          <w:tab w:val="left" w:pos="709"/>
        </w:tabs>
        <w:spacing w:after="0" w:line="240" w:lineRule="auto"/>
        <w:ind w:right="-23"/>
        <w:jc w:val="both"/>
        <w:rPr>
          <w:bCs/>
        </w:rPr>
      </w:pPr>
    </w:p>
    <w:p w14:paraId="70FCB059" w14:textId="77777777" w:rsidR="0004138D" w:rsidRPr="0004138D" w:rsidRDefault="0004138D" w:rsidP="0004138D">
      <w:pPr>
        <w:tabs>
          <w:tab w:val="left" w:pos="0"/>
          <w:tab w:val="left" w:pos="709"/>
        </w:tabs>
        <w:spacing w:after="0" w:line="240" w:lineRule="auto"/>
        <w:ind w:right="-23"/>
        <w:jc w:val="both"/>
        <w:rPr>
          <w:bCs/>
        </w:rPr>
      </w:pPr>
      <w:r w:rsidRPr="0004138D">
        <w:rPr>
          <w:bCs/>
        </w:rPr>
        <w:t>This was to be achieved through the following strategic initiatives:</w:t>
      </w:r>
    </w:p>
    <w:p w14:paraId="29064CC1" w14:textId="77777777" w:rsidR="0004138D" w:rsidRPr="0004138D" w:rsidRDefault="0004138D" w:rsidP="0004138D">
      <w:pPr>
        <w:tabs>
          <w:tab w:val="left" w:pos="0"/>
          <w:tab w:val="left" w:pos="709"/>
        </w:tabs>
        <w:spacing w:after="0" w:line="240" w:lineRule="auto"/>
        <w:ind w:right="-23"/>
        <w:jc w:val="both"/>
        <w:rPr>
          <w:bCs/>
        </w:rPr>
      </w:pPr>
    </w:p>
    <w:p w14:paraId="0C2A7370" w14:textId="77777777" w:rsidR="00404C97" w:rsidRDefault="0004138D" w:rsidP="00404C97">
      <w:pPr>
        <w:numPr>
          <w:ilvl w:val="0"/>
          <w:numId w:val="38"/>
        </w:numPr>
        <w:tabs>
          <w:tab w:val="left" w:pos="0"/>
          <w:tab w:val="left" w:pos="709"/>
        </w:tabs>
        <w:spacing w:after="0" w:line="240" w:lineRule="auto"/>
        <w:ind w:left="426" w:right="-23" w:hanging="426"/>
        <w:jc w:val="both"/>
        <w:rPr>
          <w:bCs/>
        </w:rPr>
      </w:pPr>
      <w:r w:rsidRPr="0004138D">
        <w:rPr>
          <w:bCs/>
        </w:rPr>
        <w:t>Focusing on core own-book lending products</w:t>
      </w:r>
    </w:p>
    <w:p w14:paraId="12F8C999" w14:textId="77777777" w:rsidR="00404C97" w:rsidRDefault="0004138D" w:rsidP="00404C97">
      <w:pPr>
        <w:numPr>
          <w:ilvl w:val="0"/>
          <w:numId w:val="38"/>
        </w:numPr>
        <w:tabs>
          <w:tab w:val="left" w:pos="0"/>
          <w:tab w:val="left" w:pos="709"/>
        </w:tabs>
        <w:spacing w:after="0" w:line="240" w:lineRule="auto"/>
        <w:ind w:left="426" w:right="-23" w:hanging="426"/>
        <w:jc w:val="both"/>
        <w:rPr>
          <w:bCs/>
        </w:rPr>
      </w:pPr>
      <w:r w:rsidRPr="0004138D">
        <w:rPr>
          <w:bCs/>
        </w:rPr>
        <w:t>Predominantly focusing on secured lending with an increasing average deal size</w:t>
      </w:r>
    </w:p>
    <w:p w14:paraId="47C85507" w14:textId="77777777" w:rsidR="00404C97" w:rsidRDefault="0004138D" w:rsidP="00404C97">
      <w:pPr>
        <w:numPr>
          <w:ilvl w:val="0"/>
          <w:numId w:val="38"/>
        </w:numPr>
        <w:tabs>
          <w:tab w:val="left" w:pos="0"/>
          <w:tab w:val="left" w:pos="709"/>
        </w:tabs>
        <w:spacing w:after="0" w:line="240" w:lineRule="auto"/>
        <w:ind w:left="426" w:right="-23" w:hanging="426"/>
        <w:jc w:val="both"/>
        <w:rPr>
          <w:bCs/>
        </w:rPr>
      </w:pPr>
      <w:r w:rsidRPr="0004138D">
        <w:rPr>
          <w:bCs/>
        </w:rPr>
        <w:t>Investing in key people</w:t>
      </w:r>
    </w:p>
    <w:p w14:paraId="31196E54" w14:textId="77777777" w:rsidR="00404C97" w:rsidRDefault="0004138D" w:rsidP="00404C97">
      <w:pPr>
        <w:numPr>
          <w:ilvl w:val="0"/>
          <w:numId w:val="38"/>
        </w:numPr>
        <w:tabs>
          <w:tab w:val="left" w:pos="0"/>
          <w:tab w:val="left" w:pos="709"/>
        </w:tabs>
        <w:spacing w:after="0" w:line="240" w:lineRule="auto"/>
        <w:ind w:left="426" w:right="-23" w:hanging="426"/>
        <w:jc w:val="both"/>
        <w:rPr>
          <w:bCs/>
        </w:rPr>
      </w:pPr>
      <w:r w:rsidRPr="0004138D">
        <w:rPr>
          <w:bCs/>
        </w:rPr>
        <w:lastRenderedPageBreak/>
        <w:t xml:space="preserve">Continuing to reposition the brand and invest in marketing </w:t>
      </w:r>
    </w:p>
    <w:p w14:paraId="110C1198" w14:textId="377F7E34" w:rsidR="0004138D" w:rsidRPr="0004138D" w:rsidRDefault="0004138D" w:rsidP="00404C97">
      <w:pPr>
        <w:numPr>
          <w:ilvl w:val="0"/>
          <w:numId w:val="38"/>
        </w:numPr>
        <w:tabs>
          <w:tab w:val="left" w:pos="0"/>
          <w:tab w:val="left" w:pos="709"/>
        </w:tabs>
        <w:spacing w:after="0" w:line="240" w:lineRule="auto"/>
        <w:ind w:left="426" w:right="-23" w:hanging="426"/>
        <w:jc w:val="both"/>
        <w:rPr>
          <w:bCs/>
        </w:rPr>
      </w:pPr>
      <w:r w:rsidRPr="0004138D">
        <w:rPr>
          <w:bCs/>
          <w:lang w:val="en-US"/>
        </w:rPr>
        <w:t>Bringing further liquidity into the business as and when required</w:t>
      </w:r>
    </w:p>
    <w:p w14:paraId="170BAEAA" w14:textId="77777777" w:rsidR="0004138D" w:rsidRPr="0004138D" w:rsidRDefault="0004138D" w:rsidP="0004138D">
      <w:pPr>
        <w:tabs>
          <w:tab w:val="left" w:pos="0"/>
          <w:tab w:val="left" w:pos="709"/>
        </w:tabs>
        <w:spacing w:after="0" w:line="240" w:lineRule="auto"/>
        <w:ind w:right="-23"/>
        <w:jc w:val="both"/>
        <w:rPr>
          <w:bCs/>
        </w:rPr>
      </w:pPr>
    </w:p>
    <w:p w14:paraId="36387D4F" w14:textId="77777777" w:rsidR="0004138D" w:rsidRPr="0004138D" w:rsidRDefault="0004138D" w:rsidP="0004138D">
      <w:pPr>
        <w:tabs>
          <w:tab w:val="left" w:pos="0"/>
          <w:tab w:val="left" w:pos="709"/>
        </w:tabs>
        <w:spacing w:after="0" w:line="240" w:lineRule="auto"/>
        <w:ind w:right="-23"/>
        <w:jc w:val="both"/>
        <w:rPr>
          <w:bCs/>
        </w:rPr>
      </w:pPr>
      <w:r w:rsidRPr="0004138D">
        <w:rPr>
          <w:bCs/>
        </w:rPr>
        <w:t>Good progress has been made in delivering the plan during the year and summaries on each of the above initiatives are set out below.</w:t>
      </w:r>
    </w:p>
    <w:p w14:paraId="302C1977" w14:textId="77777777" w:rsidR="0004138D" w:rsidRPr="0004138D" w:rsidRDefault="0004138D" w:rsidP="0004138D">
      <w:pPr>
        <w:tabs>
          <w:tab w:val="left" w:pos="0"/>
          <w:tab w:val="left" w:pos="709"/>
        </w:tabs>
        <w:spacing w:after="0" w:line="240" w:lineRule="auto"/>
        <w:ind w:right="-23"/>
        <w:jc w:val="both"/>
        <w:rPr>
          <w:bCs/>
        </w:rPr>
      </w:pPr>
    </w:p>
    <w:p w14:paraId="26D9B4F0" w14:textId="77777777" w:rsidR="0004138D" w:rsidRPr="0004138D" w:rsidRDefault="0004138D" w:rsidP="0004138D">
      <w:pPr>
        <w:tabs>
          <w:tab w:val="left" w:pos="0"/>
          <w:tab w:val="left" w:pos="709"/>
        </w:tabs>
        <w:spacing w:after="0" w:line="240" w:lineRule="auto"/>
        <w:ind w:right="-23"/>
        <w:jc w:val="both"/>
        <w:rPr>
          <w:bCs/>
        </w:rPr>
      </w:pPr>
      <w:r w:rsidRPr="0004138D">
        <w:rPr>
          <w:b/>
          <w:bCs/>
        </w:rPr>
        <w:t>Focus on core own-book lending products</w:t>
      </w:r>
    </w:p>
    <w:p w14:paraId="08FF1257" w14:textId="77777777" w:rsidR="0004138D" w:rsidRPr="0004138D" w:rsidRDefault="0004138D" w:rsidP="0004138D">
      <w:pPr>
        <w:tabs>
          <w:tab w:val="left" w:pos="0"/>
          <w:tab w:val="left" w:pos="709"/>
        </w:tabs>
        <w:spacing w:after="0" w:line="240" w:lineRule="auto"/>
        <w:ind w:right="-23"/>
        <w:jc w:val="both"/>
        <w:rPr>
          <w:bCs/>
        </w:rPr>
      </w:pPr>
      <w:r w:rsidRPr="0004138D">
        <w:rPr>
          <w:bCs/>
        </w:rPr>
        <w:t>The remaining “non-core” division, the consumer bridging loans business in Cardiff, was divested in October 2022. This was the last remaining consumer finance business after the rationalisation plan embarked on in the previous financial year and left the Group with a clear market position; being an alternative lender to small-medium sized businesses, offering two core products: Asset and Invoice Finance. Although a smaller part of the proposition, we continue to offer Commercial Loans as developing our multi-product offering remains a key objective. In April 2023, we also launched an Asset Based Lending (“ABL”) proposition aimed at businesses who need to raise finance against a wider range of assets, including debtors, plant &amp; machinery, property and stock. This has been well received in the market with our first transaction completed in May. During the year we increased our gross lending book by 24% to £170m and we expect this trend is to continue over the course of our medium-term plan.</w:t>
      </w:r>
    </w:p>
    <w:p w14:paraId="3C6F3B18" w14:textId="77777777" w:rsidR="0004138D" w:rsidRPr="0004138D" w:rsidRDefault="0004138D" w:rsidP="0004138D">
      <w:pPr>
        <w:tabs>
          <w:tab w:val="left" w:pos="0"/>
          <w:tab w:val="left" w:pos="709"/>
        </w:tabs>
        <w:spacing w:after="0" w:line="240" w:lineRule="auto"/>
        <w:ind w:right="-23"/>
        <w:jc w:val="both"/>
        <w:rPr>
          <w:bCs/>
        </w:rPr>
      </w:pPr>
    </w:p>
    <w:p w14:paraId="123AD6FF" w14:textId="77777777" w:rsidR="0004138D" w:rsidRPr="0004138D" w:rsidRDefault="0004138D" w:rsidP="0004138D">
      <w:pPr>
        <w:tabs>
          <w:tab w:val="left" w:pos="0"/>
          <w:tab w:val="left" w:pos="709"/>
        </w:tabs>
        <w:spacing w:after="0" w:line="240" w:lineRule="auto"/>
        <w:ind w:right="-23"/>
        <w:jc w:val="both"/>
        <w:rPr>
          <w:bCs/>
        </w:rPr>
      </w:pPr>
      <w:r w:rsidRPr="0004138D">
        <w:rPr>
          <w:b/>
          <w:bCs/>
        </w:rPr>
        <w:t>Predominantly focus on secured lending with an increasing average deal size</w:t>
      </w:r>
    </w:p>
    <w:p w14:paraId="7656AEDA" w14:textId="77777777" w:rsidR="0004138D" w:rsidRPr="0004138D" w:rsidRDefault="0004138D" w:rsidP="0004138D">
      <w:pPr>
        <w:tabs>
          <w:tab w:val="left" w:pos="0"/>
          <w:tab w:val="left" w:pos="709"/>
        </w:tabs>
        <w:spacing w:after="0" w:line="240" w:lineRule="auto"/>
        <w:ind w:right="-23"/>
        <w:jc w:val="both"/>
        <w:rPr>
          <w:bCs/>
        </w:rPr>
      </w:pPr>
      <w:r w:rsidRPr="0004138D">
        <w:rPr>
          <w:bCs/>
        </w:rPr>
        <w:t>In the majority of cases, tangible security is taken to underpin our lending. This involves taking title to professionally valued fixed assets or book debts, supported by registering debentures and/or property charges. A key aim over the last twelve months was to increase the average ticket size of the ‘Hard’ asset business which reduced significantly during the pandemic when market demand led to smaller assets being funded. I am pleased to report that this has been achieved with the average deal size increasing from £22k in FY21/22 to £36k in FY22/23 and during Q4 this increased further to £40k. The maximum limit to any one customer within the Hard Asset division also increased from £500k to £750k. In addition, we took the decision to exit the unsecured loans market where most of the business was sub £25k and not secured by a tangible asset. The one exception to this overall trend, is the ‘soft’ asset strategy where the Group has a niche position in funding smaller transactions that provide a wide spread of risk at higher yields, funding business critical assets. During the year we repositioned this offering, targeting mainly lends up to £15k with an auto approval system implemented to improve efficiencies. The majority of future growth, however, will continue to come from the Hard Asset and Invoice Finance businesses, along with the ABL offering.</w:t>
      </w:r>
    </w:p>
    <w:p w14:paraId="767EE691" w14:textId="77777777" w:rsidR="0004138D" w:rsidRPr="0004138D" w:rsidRDefault="0004138D" w:rsidP="0004138D">
      <w:pPr>
        <w:tabs>
          <w:tab w:val="left" w:pos="0"/>
          <w:tab w:val="left" w:pos="709"/>
        </w:tabs>
        <w:spacing w:after="0" w:line="240" w:lineRule="auto"/>
        <w:ind w:right="-23"/>
        <w:jc w:val="both"/>
        <w:rPr>
          <w:bCs/>
        </w:rPr>
      </w:pPr>
    </w:p>
    <w:p w14:paraId="7D602ECD" w14:textId="77777777" w:rsidR="0004138D" w:rsidRPr="0004138D" w:rsidRDefault="0004138D" w:rsidP="0004138D">
      <w:pPr>
        <w:tabs>
          <w:tab w:val="left" w:pos="0"/>
          <w:tab w:val="left" w:pos="709"/>
        </w:tabs>
        <w:spacing w:after="0" w:line="240" w:lineRule="auto"/>
        <w:ind w:right="-23"/>
        <w:jc w:val="both"/>
        <w:rPr>
          <w:bCs/>
        </w:rPr>
      </w:pPr>
      <w:r w:rsidRPr="0004138D">
        <w:rPr>
          <w:b/>
          <w:bCs/>
        </w:rPr>
        <w:t>Investment in key resources</w:t>
      </w:r>
    </w:p>
    <w:p w14:paraId="6DF05E7D" w14:textId="77777777" w:rsidR="0004138D" w:rsidRPr="0004138D" w:rsidRDefault="0004138D" w:rsidP="0004138D">
      <w:pPr>
        <w:tabs>
          <w:tab w:val="left" w:pos="0"/>
          <w:tab w:val="left" w:pos="709"/>
        </w:tabs>
        <w:spacing w:after="0" w:line="240" w:lineRule="auto"/>
        <w:ind w:right="-23"/>
        <w:jc w:val="both"/>
        <w:rPr>
          <w:bCs/>
        </w:rPr>
      </w:pPr>
      <w:r w:rsidRPr="0004138D">
        <w:rPr>
          <w:bCs/>
        </w:rPr>
        <w:t xml:space="preserve">In order to grow the business, the Group has continued to invest in a number of key recruits. We appointed a Head of Credit in June 2022 and his skills and experience have been crucial in supporting the move to increase the hard asset deal size and maximum customer limit. The sales teams within both Asset and Invoice Finance have been expanded further and by the end of September 2023 the overall New Business team will have doubled in size since inception of our current plan. We also invested in Business Improvement, focusing on improving efficiencies and ultimately the customer journey. A number of projects have been successfully delivered over the last twelve months, including enhancements to our operating system in the Asset Finance division, the introduction of electronic signatures for executing legal documents in our Invoice Finance division and a new Group-wide HR platform that has allowed us to digitalise the employee appraisal process.  </w:t>
      </w:r>
    </w:p>
    <w:p w14:paraId="3965D088" w14:textId="77777777" w:rsidR="0004138D" w:rsidRPr="0004138D" w:rsidRDefault="0004138D" w:rsidP="0004138D">
      <w:pPr>
        <w:tabs>
          <w:tab w:val="left" w:pos="0"/>
          <w:tab w:val="left" w:pos="709"/>
        </w:tabs>
        <w:spacing w:after="0" w:line="240" w:lineRule="auto"/>
        <w:ind w:right="-23"/>
        <w:jc w:val="both"/>
        <w:rPr>
          <w:bCs/>
        </w:rPr>
      </w:pPr>
    </w:p>
    <w:p w14:paraId="11FDB345" w14:textId="77777777" w:rsidR="0004138D" w:rsidRPr="0004138D" w:rsidRDefault="0004138D" w:rsidP="0004138D">
      <w:pPr>
        <w:tabs>
          <w:tab w:val="left" w:pos="0"/>
          <w:tab w:val="left" w:pos="709"/>
        </w:tabs>
        <w:spacing w:after="0" w:line="240" w:lineRule="auto"/>
        <w:ind w:right="-23"/>
        <w:jc w:val="both"/>
        <w:rPr>
          <w:bCs/>
        </w:rPr>
      </w:pPr>
      <w:r w:rsidRPr="0004138D">
        <w:rPr>
          <w:b/>
          <w:bCs/>
        </w:rPr>
        <w:t>Reposition the brand and investment in marketing</w:t>
      </w:r>
    </w:p>
    <w:p w14:paraId="4CD32AF1" w14:textId="77777777" w:rsidR="0004138D" w:rsidRPr="0004138D" w:rsidRDefault="0004138D" w:rsidP="0004138D">
      <w:pPr>
        <w:tabs>
          <w:tab w:val="left" w:pos="0"/>
          <w:tab w:val="left" w:pos="709"/>
        </w:tabs>
        <w:spacing w:after="0" w:line="240" w:lineRule="auto"/>
        <w:ind w:right="-23"/>
        <w:jc w:val="both"/>
        <w:rPr>
          <w:bCs/>
        </w:rPr>
      </w:pPr>
      <w:r w:rsidRPr="0004138D">
        <w:rPr>
          <w:bCs/>
        </w:rPr>
        <w:t xml:space="preserve">Since the Group was rebranded to Time Finance at the end of 2020, we have worked hard to reposition the business in line with our strategy and this has delivered some pleasing results over the past twelve months. Our PR strategy, promoting our core business news and client case studies and testimonials, led to a 26% increase in media coverage achieved across key industry titles in the regional and national press. </w:t>
      </w:r>
      <w:r w:rsidRPr="0004138D">
        <w:rPr>
          <w:bCs/>
        </w:rPr>
        <w:lastRenderedPageBreak/>
        <w:t xml:space="preserve">We also invested in our digital presence and SEO efforts which complemented our traditional marketing channels, achieving a 201% increase in website traffic. We continue to invest in our in-house marketing team, combined with external agency partnerships, to further strengthen the Time Finance brand within the commercial finance market and we are pleased that these efforts were recognised through being awarded ‘Asset Finance Provider of the Year’ at the 2023 Asset Finance Connect awards ceremony.  </w:t>
      </w:r>
    </w:p>
    <w:p w14:paraId="5C234753" w14:textId="77777777" w:rsidR="0004138D" w:rsidRPr="0004138D" w:rsidRDefault="0004138D" w:rsidP="0004138D">
      <w:pPr>
        <w:tabs>
          <w:tab w:val="left" w:pos="0"/>
          <w:tab w:val="left" w:pos="709"/>
        </w:tabs>
        <w:spacing w:after="0" w:line="240" w:lineRule="auto"/>
        <w:ind w:right="-23"/>
        <w:jc w:val="both"/>
        <w:rPr>
          <w:b/>
          <w:bCs/>
          <w:lang w:val="en-US"/>
        </w:rPr>
      </w:pPr>
    </w:p>
    <w:p w14:paraId="50742AF2" w14:textId="77777777" w:rsidR="0004138D" w:rsidRPr="0004138D" w:rsidRDefault="0004138D" w:rsidP="0004138D">
      <w:pPr>
        <w:tabs>
          <w:tab w:val="left" w:pos="0"/>
          <w:tab w:val="left" w:pos="709"/>
        </w:tabs>
        <w:spacing w:after="0" w:line="240" w:lineRule="auto"/>
        <w:ind w:right="-23"/>
        <w:jc w:val="both"/>
        <w:rPr>
          <w:bCs/>
        </w:rPr>
      </w:pPr>
      <w:r w:rsidRPr="0004138D">
        <w:rPr>
          <w:b/>
          <w:bCs/>
          <w:lang w:val="en-US"/>
        </w:rPr>
        <w:t>Bring further liquidity into the business as and when required</w:t>
      </w:r>
    </w:p>
    <w:p w14:paraId="13A0600E" w14:textId="77777777" w:rsidR="0004138D" w:rsidRPr="0004138D" w:rsidRDefault="0004138D" w:rsidP="0004138D">
      <w:pPr>
        <w:tabs>
          <w:tab w:val="left" w:pos="0"/>
          <w:tab w:val="left" w:pos="709"/>
        </w:tabs>
        <w:spacing w:after="0" w:line="240" w:lineRule="auto"/>
        <w:ind w:right="-23"/>
        <w:jc w:val="both"/>
        <w:rPr>
          <w:bCs/>
          <w:lang w:val="en-US"/>
        </w:rPr>
      </w:pPr>
      <w:r w:rsidRPr="0004138D">
        <w:rPr>
          <w:bCs/>
          <w:lang w:val="en-US"/>
        </w:rPr>
        <w:t>During the financial year, a healthy liquidity position was maintained with sufficient cash resources in place to deliver our current plan. As the growth accelerates further, however, we will likely need to review the current funding strategy. Finding suitable long-term liquidity at sensible pricing is therefore a key focus over the course of the next twenty four months.</w:t>
      </w:r>
    </w:p>
    <w:p w14:paraId="0A91C045" w14:textId="77777777" w:rsidR="0004138D" w:rsidRPr="0004138D" w:rsidRDefault="0004138D" w:rsidP="0004138D">
      <w:pPr>
        <w:tabs>
          <w:tab w:val="left" w:pos="0"/>
          <w:tab w:val="left" w:pos="709"/>
        </w:tabs>
        <w:spacing w:after="0" w:line="240" w:lineRule="auto"/>
        <w:ind w:right="-23"/>
        <w:jc w:val="both"/>
        <w:rPr>
          <w:b/>
          <w:bCs/>
        </w:rPr>
      </w:pPr>
    </w:p>
    <w:p w14:paraId="1489DFFA" w14:textId="77777777" w:rsidR="0004138D" w:rsidRPr="0004138D" w:rsidRDefault="0004138D" w:rsidP="0004138D">
      <w:pPr>
        <w:tabs>
          <w:tab w:val="left" w:pos="0"/>
          <w:tab w:val="left" w:pos="709"/>
        </w:tabs>
        <w:spacing w:after="0" w:line="240" w:lineRule="auto"/>
        <w:ind w:right="-23"/>
        <w:jc w:val="both"/>
        <w:rPr>
          <w:b/>
          <w:bCs/>
          <w:i/>
          <w:iCs/>
        </w:rPr>
      </w:pPr>
      <w:r w:rsidRPr="0004138D">
        <w:rPr>
          <w:b/>
          <w:bCs/>
        </w:rPr>
        <w:t>Key performance indicators</w:t>
      </w:r>
    </w:p>
    <w:p w14:paraId="0862232F" w14:textId="77777777" w:rsidR="0004138D" w:rsidRPr="0004138D" w:rsidRDefault="0004138D" w:rsidP="0004138D">
      <w:pPr>
        <w:tabs>
          <w:tab w:val="left" w:pos="0"/>
          <w:tab w:val="left" w:pos="709"/>
        </w:tabs>
        <w:spacing w:after="0" w:line="240" w:lineRule="auto"/>
        <w:ind w:right="-23"/>
        <w:jc w:val="both"/>
        <w:rPr>
          <w:bCs/>
        </w:rPr>
      </w:pPr>
      <w:r w:rsidRPr="0004138D">
        <w:rPr>
          <w:bCs/>
        </w:rPr>
        <w:t>The Board and the Senior Management Team regularly review and monitor key metrics in assessing the performance of the Group. Some of these key metrics used to track the Group's meaningful progress are detailed below.</w:t>
      </w:r>
    </w:p>
    <w:p w14:paraId="37EC7FBE" w14:textId="77777777" w:rsidR="0004138D" w:rsidRPr="0004138D" w:rsidRDefault="0004138D" w:rsidP="0004138D">
      <w:pPr>
        <w:tabs>
          <w:tab w:val="left" w:pos="0"/>
          <w:tab w:val="left" w:pos="709"/>
        </w:tabs>
        <w:spacing w:after="0" w:line="240" w:lineRule="auto"/>
        <w:ind w:right="-23"/>
        <w:jc w:val="both"/>
        <w:rPr>
          <w:bCs/>
        </w:rPr>
      </w:pPr>
    </w:p>
    <w:p w14:paraId="110C27A7" w14:textId="77777777" w:rsidR="00404C97" w:rsidRDefault="0004138D" w:rsidP="00404C97">
      <w:pPr>
        <w:numPr>
          <w:ilvl w:val="0"/>
          <w:numId w:val="38"/>
        </w:numPr>
        <w:tabs>
          <w:tab w:val="left" w:pos="0"/>
          <w:tab w:val="left" w:pos="709"/>
        </w:tabs>
        <w:spacing w:after="0" w:line="240" w:lineRule="auto"/>
        <w:ind w:left="426" w:right="-23"/>
        <w:jc w:val="both"/>
        <w:rPr>
          <w:bCs/>
        </w:rPr>
      </w:pPr>
      <w:r w:rsidRPr="0004138D">
        <w:rPr>
          <w:bCs/>
        </w:rPr>
        <w:t>Continuing Operations Revenue – £27.0m (prior year £22.5m)</w:t>
      </w:r>
    </w:p>
    <w:p w14:paraId="4CB35440" w14:textId="77777777" w:rsidR="00404C97" w:rsidRDefault="0004138D" w:rsidP="00404C97">
      <w:pPr>
        <w:numPr>
          <w:ilvl w:val="0"/>
          <w:numId w:val="38"/>
        </w:numPr>
        <w:tabs>
          <w:tab w:val="left" w:pos="0"/>
          <w:tab w:val="left" w:pos="709"/>
        </w:tabs>
        <w:spacing w:after="0" w:line="240" w:lineRule="auto"/>
        <w:ind w:left="426" w:right="-23"/>
        <w:jc w:val="both"/>
        <w:rPr>
          <w:bCs/>
        </w:rPr>
      </w:pPr>
      <w:r w:rsidRPr="0004138D">
        <w:rPr>
          <w:bCs/>
        </w:rPr>
        <w:t>Continuing Operations Gross Profit margin - 59% (prior year 64%)</w:t>
      </w:r>
    </w:p>
    <w:p w14:paraId="1C8D795D" w14:textId="77777777" w:rsidR="00404C97" w:rsidRDefault="0004138D" w:rsidP="00404C97">
      <w:pPr>
        <w:numPr>
          <w:ilvl w:val="0"/>
          <w:numId w:val="38"/>
        </w:numPr>
        <w:tabs>
          <w:tab w:val="left" w:pos="0"/>
          <w:tab w:val="left" w:pos="709"/>
        </w:tabs>
        <w:spacing w:after="0" w:line="240" w:lineRule="auto"/>
        <w:ind w:left="426" w:right="-23"/>
        <w:jc w:val="both"/>
        <w:rPr>
          <w:bCs/>
        </w:rPr>
      </w:pPr>
      <w:r w:rsidRPr="0004138D">
        <w:rPr>
          <w:bCs/>
        </w:rPr>
        <w:t>Continuing Operations Profit Before Tax– £4.1m (prior year £1.4m)</w:t>
      </w:r>
    </w:p>
    <w:p w14:paraId="19B0EEA2" w14:textId="77777777" w:rsidR="00404C97" w:rsidRDefault="0004138D" w:rsidP="00404C97">
      <w:pPr>
        <w:numPr>
          <w:ilvl w:val="0"/>
          <w:numId w:val="38"/>
        </w:numPr>
        <w:tabs>
          <w:tab w:val="left" w:pos="0"/>
          <w:tab w:val="left" w:pos="709"/>
        </w:tabs>
        <w:spacing w:after="0" w:line="240" w:lineRule="auto"/>
        <w:ind w:left="426" w:right="-23"/>
        <w:jc w:val="both"/>
        <w:rPr>
          <w:bCs/>
        </w:rPr>
      </w:pPr>
      <w:r w:rsidRPr="0004138D">
        <w:rPr>
          <w:bCs/>
        </w:rPr>
        <w:t>Continuing Operations Diluted Earnings Per Share – 3.63p (prior year 1.38p)</w:t>
      </w:r>
    </w:p>
    <w:p w14:paraId="3C2381B3" w14:textId="77777777" w:rsidR="00404C97" w:rsidRDefault="0004138D" w:rsidP="00404C97">
      <w:pPr>
        <w:numPr>
          <w:ilvl w:val="0"/>
          <w:numId w:val="38"/>
        </w:numPr>
        <w:tabs>
          <w:tab w:val="left" w:pos="0"/>
          <w:tab w:val="left" w:pos="709"/>
        </w:tabs>
        <w:spacing w:after="0" w:line="240" w:lineRule="auto"/>
        <w:ind w:left="426" w:right="-23"/>
        <w:jc w:val="both"/>
        <w:rPr>
          <w:bCs/>
        </w:rPr>
      </w:pPr>
      <w:r w:rsidRPr="0004138D">
        <w:rPr>
          <w:bCs/>
        </w:rPr>
        <w:t>Own-Book New Business Origination – £73.4m (prior year £64.4m)</w:t>
      </w:r>
    </w:p>
    <w:p w14:paraId="12B42806" w14:textId="7DE7AEA2" w:rsidR="0004138D" w:rsidRPr="0004138D" w:rsidRDefault="0004138D" w:rsidP="00404C97">
      <w:pPr>
        <w:numPr>
          <w:ilvl w:val="0"/>
          <w:numId w:val="38"/>
        </w:numPr>
        <w:tabs>
          <w:tab w:val="left" w:pos="0"/>
          <w:tab w:val="left" w:pos="709"/>
        </w:tabs>
        <w:spacing w:after="0" w:line="240" w:lineRule="auto"/>
        <w:ind w:left="426" w:right="-23"/>
        <w:jc w:val="both"/>
        <w:rPr>
          <w:bCs/>
        </w:rPr>
      </w:pPr>
      <w:r w:rsidRPr="0004138D">
        <w:rPr>
          <w:bCs/>
        </w:rPr>
        <w:t xml:space="preserve">Core business own book vs </w:t>
      </w:r>
      <w:proofErr w:type="spellStart"/>
      <w:r w:rsidRPr="0004138D">
        <w:rPr>
          <w:bCs/>
        </w:rPr>
        <w:t>broked</w:t>
      </w:r>
      <w:proofErr w:type="spellEnd"/>
      <w:r w:rsidRPr="0004138D">
        <w:rPr>
          <w:bCs/>
        </w:rPr>
        <w:t>-on ratios – 96/4 (prior year 87/13)</w:t>
      </w:r>
    </w:p>
    <w:p w14:paraId="24703297" w14:textId="77777777" w:rsidR="0004138D" w:rsidRPr="0004138D" w:rsidRDefault="0004138D" w:rsidP="0004138D">
      <w:pPr>
        <w:tabs>
          <w:tab w:val="left" w:pos="0"/>
          <w:tab w:val="left" w:pos="709"/>
        </w:tabs>
        <w:spacing w:after="0" w:line="240" w:lineRule="auto"/>
        <w:ind w:right="-23"/>
        <w:jc w:val="both"/>
        <w:rPr>
          <w:b/>
          <w:bCs/>
        </w:rPr>
      </w:pPr>
    </w:p>
    <w:p w14:paraId="7F519E79" w14:textId="77777777" w:rsidR="0004138D" w:rsidRPr="0004138D" w:rsidRDefault="0004138D" w:rsidP="0004138D">
      <w:pPr>
        <w:tabs>
          <w:tab w:val="left" w:pos="0"/>
          <w:tab w:val="left" w:pos="709"/>
        </w:tabs>
        <w:spacing w:after="0" w:line="240" w:lineRule="auto"/>
        <w:ind w:right="-23"/>
        <w:jc w:val="both"/>
        <w:rPr>
          <w:b/>
          <w:bCs/>
        </w:rPr>
      </w:pPr>
      <w:r w:rsidRPr="0004138D">
        <w:rPr>
          <w:b/>
          <w:bCs/>
        </w:rPr>
        <w:t>Refreshed Strategy</w:t>
      </w:r>
    </w:p>
    <w:p w14:paraId="79397D11" w14:textId="77777777" w:rsidR="0004138D" w:rsidRPr="0004138D" w:rsidRDefault="0004138D" w:rsidP="0004138D">
      <w:pPr>
        <w:tabs>
          <w:tab w:val="left" w:pos="0"/>
          <w:tab w:val="left" w:pos="709"/>
        </w:tabs>
        <w:spacing w:after="0" w:line="240" w:lineRule="auto"/>
        <w:ind w:right="-23"/>
        <w:jc w:val="both"/>
        <w:rPr>
          <w:bCs/>
        </w:rPr>
      </w:pPr>
      <w:r w:rsidRPr="0004138D">
        <w:rPr>
          <w:bCs/>
        </w:rPr>
        <w:t>During the second half of the financial year, we took the opportunity to refresh the current strategy along with our purpose, values and key objectives. This process proved to be highly beneficial, providing a more robust linkage with our financial budgets and forecasts for the next two years. A summary of the refreshed plan is shown below.</w:t>
      </w:r>
    </w:p>
    <w:p w14:paraId="2D7FF1C8" w14:textId="77777777" w:rsidR="0004138D" w:rsidRPr="0004138D" w:rsidRDefault="0004138D" w:rsidP="0004138D">
      <w:pPr>
        <w:tabs>
          <w:tab w:val="left" w:pos="0"/>
          <w:tab w:val="left" w:pos="709"/>
        </w:tabs>
        <w:spacing w:after="0" w:line="240" w:lineRule="auto"/>
        <w:ind w:right="-23"/>
        <w:jc w:val="both"/>
        <w:rPr>
          <w:bCs/>
        </w:rPr>
      </w:pPr>
    </w:p>
    <w:p w14:paraId="206B6232" w14:textId="77777777" w:rsidR="0004138D" w:rsidRPr="0004138D" w:rsidRDefault="0004138D" w:rsidP="0004138D">
      <w:pPr>
        <w:tabs>
          <w:tab w:val="left" w:pos="0"/>
          <w:tab w:val="left" w:pos="709"/>
        </w:tabs>
        <w:spacing w:after="0" w:line="240" w:lineRule="auto"/>
        <w:ind w:right="-23"/>
        <w:jc w:val="both"/>
        <w:rPr>
          <w:bCs/>
          <w:u w:val="single"/>
        </w:rPr>
      </w:pPr>
      <w:r w:rsidRPr="0004138D">
        <w:rPr>
          <w:bCs/>
          <w:u w:val="single"/>
        </w:rPr>
        <w:t>Our Purpose</w:t>
      </w:r>
    </w:p>
    <w:p w14:paraId="52A2D827" w14:textId="77777777" w:rsidR="0004138D" w:rsidRPr="0004138D" w:rsidRDefault="0004138D" w:rsidP="0004138D">
      <w:pPr>
        <w:tabs>
          <w:tab w:val="left" w:pos="0"/>
          <w:tab w:val="left" w:pos="709"/>
        </w:tabs>
        <w:spacing w:after="0" w:line="240" w:lineRule="auto"/>
        <w:ind w:right="-23"/>
        <w:jc w:val="both"/>
        <w:rPr>
          <w:bCs/>
        </w:rPr>
      </w:pPr>
      <w:r w:rsidRPr="0004138D">
        <w:rPr>
          <w:bCs/>
        </w:rPr>
        <w:t>“To help UK businesses to thrive and survive”</w:t>
      </w:r>
    </w:p>
    <w:p w14:paraId="4C4B2EA7" w14:textId="77777777" w:rsidR="0004138D" w:rsidRPr="0004138D" w:rsidRDefault="0004138D" w:rsidP="0004138D">
      <w:pPr>
        <w:tabs>
          <w:tab w:val="left" w:pos="0"/>
          <w:tab w:val="left" w:pos="709"/>
        </w:tabs>
        <w:spacing w:after="0" w:line="240" w:lineRule="auto"/>
        <w:ind w:right="-23"/>
        <w:jc w:val="both"/>
        <w:rPr>
          <w:bCs/>
        </w:rPr>
      </w:pPr>
    </w:p>
    <w:p w14:paraId="7B499860" w14:textId="77777777" w:rsidR="0004138D" w:rsidRPr="0004138D" w:rsidRDefault="0004138D" w:rsidP="0004138D">
      <w:pPr>
        <w:tabs>
          <w:tab w:val="left" w:pos="0"/>
          <w:tab w:val="left" w:pos="709"/>
        </w:tabs>
        <w:spacing w:after="0" w:line="240" w:lineRule="auto"/>
        <w:ind w:right="-23"/>
        <w:jc w:val="both"/>
        <w:rPr>
          <w:bCs/>
          <w:u w:val="single"/>
        </w:rPr>
      </w:pPr>
      <w:r w:rsidRPr="0004138D">
        <w:rPr>
          <w:bCs/>
          <w:u w:val="single"/>
        </w:rPr>
        <w:t>Our Objectives</w:t>
      </w:r>
    </w:p>
    <w:p w14:paraId="5167A7AA" w14:textId="77777777" w:rsidR="0004138D" w:rsidRPr="0004138D" w:rsidRDefault="0004138D" w:rsidP="0004138D">
      <w:pPr>
        <w:numPr>
          <w:ilvl w:val="0"/>
          <w:numId w:val="48"/>
        </w:numPr>
        <w:tabs>
          <w:tab w:val="left" w:pos="0"/>
          <w:tab w:val="left" w:pos="709"/>
        </w:tabs>
        <w:spacing w:after="0" w:line="240" w:lineRule="auto"/>
        <w:ind w:right="-23"/>
        <w:jc w:val="both"/>
        <w:rPr>
          <w:bCs/>
        </w:rPr>
      </w:pPr>
      <w:r w:rsidRPr="0004138D">
        <w:rPr>
          <w:bCs/>
        </w:rPr>
        <w:t xml:space="preserve">Ambitious growth in our target markets </w:t>
      </w:r>
    </w:p>
    <w:p w14:paraId="10980A4A" w14:textId="77777777" w:rsidR="0004138D" w:rsidRPr="0004138D" w:rsidRDefault="0004138D" w:rsidP="0004138D">
      <w:pPr>
        <w:numPr>
          <w:ilvl w:val="0"/>
          <w:numId w:val="48"/>
        </w:numPr>
        <w:tabs>
          <w:tab w:val="left" w:pos="0"/>
          <w:tab w:val="left" w:pos="709"/>
        </w:tabs>
        <w:spacing w:after="0" w:line="240" w:lineRule="auto"/>
        <w:ind w:right="-23"/>
        <w:jc w:val="both"/>
        <w:rPr>
          <w:bCs/>
        </w:rPr>
      </w:pPr>
      <w:r w:rsidRPr="0004138D">
        <w:rPr>
          <w:bCs/>
        </w:rPr>
        <w:t>Improve customer experience and productivity</w:t>
      </w:r>
    </w:p>
    <w:p w14:paraId="33CF7115" w14:textId="77777777" w:rsidR="0004138D" w:rsidRPr="0004138D" w:rsidRDefault="0004138D" w:rsidP="0004138D">
      <w:pPr>
        <w:numPr>
          <w:ilvl w:val="0"/>
          <w:numId w:val="48"/>
        </w:numPr>
        <w:tabs>
          <w:tab w:val="left" w:pos="0"/>
          <w:tab w:val="left" w:pos="709"/>
        </w:tabs>
        <w:spacing w:after="0" w:line="240" w:lineRule="auto"/>
        <w:ind w:right="-23"/>
        <w:jc w:val="both"/>
        <w:rPr>
          <w:bCs/>
        </w:rPr>
      </w:pPr>
      <w:r w:rsidRPr="0004138D">
        <w:rPr>
          <w:bCs/>
        </w:rPr>
        <w:t>Prepare our people for the future</w:t>
      </w:r>
    </w:p>
    <w:p w14:paraId="3831EEF2" w14:textId="77777777" w:rsidR="0004138D" w:rsidRPr="0004138D" w:rsidRDefault="0004138D" w:rsidP="0004138D">
      <w:pPr>
        <w:numPr>
          <w:ilvl w:val="0"/>
          <w:numId w:val="48"/>
        </w:numPr>
        <w:tabs>
          <w:tab w:val="left" w:pos="0"/>
          <w:tab w:val="left" w:pos="709"/>
        </w:tabs>
        <w:spacing w:after="0" w:line="240" w:lineRule="auto"/>
        <w:ind w:right="-23"/>
        <w:jc w:val="both"/>
        <w:rPr>
          <w:bCs/>
        </w:rPr>
      </w:pPr>
      <w:r w:rsidRPr="0004138D">
        <w:rPr>
          <w:bCs/>
        </w:rPr>
        <w:t>Build strong foundations</w:t>
      </w:r>
    </w:p>
    <w:p w14:paraId="6EA89C38" w14:textId="77777777" w:rsidR="0004138D" w:rsidRPr="0004138D" w:rsidRDefault="0004138D" w:rsidP="0004138D">
      <w:pPr>
        <w:tabs>
          <w:tab w:val="left" w:pos="0"/>
          <w:tab w:val="left" w:pos="709"/>
        </w:tabs>
        <w:spacing w:after="0" w:line="240" w:lineRule="auto"/>
        <w:ind w:right="-23"/>
        <w:jc w:val="both"/>
        <w:rPr>
          <w:b/>
          <w:bCs/>
        </w:rPr>
      </w:pPr>
    </w:p>
    <w:p w14:paraId="557DF62C" w14:textId="77777777" w:rsidR="0004138D" w:rsidRPr="0004138D" w:rsidRDefault="0004138D" w:rsidP="0004138D">
      <w:pPr>
        <w:tabs>
          <w:tab w:val="left" w:pos="0"/>
          <w:tab w:val="left" w:pos="709"/>
        </w:tabs>
        <w:spacing w:after="0" w:line="240" w:lineRule="auto"/>
        <w:ind w:right="-23"/>
        <w:jc w:val="both"/>
        <w:rPr>
          <w:bCs/>
        </w:rPr>
      </w:pPr>
      <w:r w:rsidRPr="0004138D">
        <w:rPr>
          <w:bCs/>
        </w:rPr>
        <w:t xml:space="preserve">Each of the above have a number of initiatives in place in order to deliver the set targets and I look forward to reporting on progress as we travel through the year. </w:t>
      </w:r>
    </w:p>
    <w:p w14:paraId="5C59CA21" w14:textId="77777777" w:rsidR="0004138D" w:rsidRPr="0004138D" w:rsidRDefault="0004138D" w:rsidP="0004138D">
      <w:pPr>
        <w:tabs>
          <w:tab w:val="left" w:pos="0"/>
          <w:tab w:val="left" w:pos="709"/>
        </w:tabs>
        <w:spacing w:after="0" w:line="240" w:lineRule="auto"/>
        <w:ind w:right="-23"/>
        <w:jc w:val="both"/>
        <w:rPr>
          <w:b/>
          <w:bCs/>
        </w:rPr>
      </w:pPr>
    </w:p>
    <w:p w14:paraId="7BAC2D26" w14:textId="77777777" w:rsidR="0004138D" w:rsidRPr="0004138D" w:rsidRDefault="0004138D" w:rsidP="0004138D">
      <w:pPr>
        <w:tabs>
          <w:tab w:val="left" w:pos="0"/>
          <w:tab w:val="left" w:pos="709"/>
        </w:tabs>
        <w:spacing w:after="0" w:line="240" w:lineRule="auto"/>
        <w:ind w:right="-23"/>
        <w:jc w:val="both"/>
        <w:rPr>
          <w:b/>
          <w:bCs/>
        </w:rPr>
      </w:pPr>
      <w:r w:rsidRPr="0004138D">
        <w:rPr>
          <w:b/>
          <w:bCs/>
        </w:rPr>
        <w:t>Principal risks and uncertainties</w:t>
      </w:r>
    </w:p>
    <w:p w14:paraId="174D10DB" w14:textId="77777777" w:rsidR="0004138D" w:rsidRPr="0004138D" w:rsidRDefault="0004138D" w:rsidP="0004138D">
      <w:pPr>
        <w:tabs>
          <w:tab w:val="left" w:pos="0"/>
          <w:tab w:val="left" w:pos="709"/>
        </w:tabs>
        <w:spacing w:after="0" w:line="240" w:lineRule="auto"/>
        <w:ind w:right="-23"/>
        <w:jc w:val="both"/>
        <w:rPr>
          <w:bCs/>
        </w:rPr>
      </w:pPr>
      <w:r w:rsidRPr="0004138D">
        <w:rPr>
          <w:bCs/>
        </w:rPr>
        <w:t>‘Principal risks' are defined as a risk or a combination of risks that, given the Group's current position, could seriously affect its performance, future prospects or reputation. These risks could potentially materially threaten the business model, performance, solvency or liquidity, or prevent the delivery of the strategic objectives outlined above. The Board has overall responsibility for ensuring that risk is appropriately managed across the Group and, through the Governance and Risk Committee, has established the Group's appetite to risk; approved its structure, methodologies and policies; and management roles and responsibilities.</w:t>
      </w:r>
    </w:p>
    <w:p w14:paraId="028C5364" w14:textId="77777777" w:rsidR="0004138D" w:rsidRPr="0004138D" w:rsidRDefault="0004138D" w:rsidP="0004138D">
      <w:pPr>
        <w:tabs>
          <w:tab w:val="left" w:pos="0"/>
          <w:tab w:val="left" w:pos="709"/>
        </w:tabs>
        <w:spacing w:after="0" w:line="240" w:lineRule="auto"/>
        <w:ind w:right="-23"/>
        <w:jc w:val="both"/>
        <w:rPr>
          <w:bCs/>
        </w:rPr>
      </w:pPr>
    </w:p>
    <w:p w14:paraId="5C67CEC9" w14:textId="77777777" w:rsidR="0004138D" w:rsidRPr="0004138D" w:rsidRDefault="0004138D" w:rsidP="0004138D">
      <w:pPr>
        <w:tabs>
          <w:tab w:val="left" w:pos="0"/>
          <w:tab w:val="left" w:pos="709"/>
        </w:tabs>
        <w:spacing w:after="0" w:line="240" w:lineRule="auto"/>
        <w:ind w:right="-23"/>
        <w:jc w:val="both"/>
        <w:rPr>
          <w:bCs/>
        </w:rPr>
      </w:pPr>
      <w:r w:rsidRPr="0004138D">
        <w:rPr>
          <w:bCs/>
        </w:rPr>
        <w:lastRenderedPageBreak/>
        <w:t>As well as regular external reviews and audits from the Group's statutory auditors and the quarterly audits from a number of its funding partners, the Group has numerous internal checks and balances. Initial responsibility rests with the Senior Management Team which manages the business divisions and functions with line managers responsible for identifying and managing risks arising in their business areas. This is augmented by the Group's central and independent Compliance, Finance and Risk functions with responsibility for reporting to the Board. The Group has a Director of Risk who reviews all significant credit exposures and a Head of Compliance who reviews all significant operating risks and adherence to regulatory requirements.</w:t>
      </w:r>
    </w:p>
    <w:p w14:paraId="1574DC5A" w14:textId="77777777" w:rsidR="0004138D" w:rsidRPr="0004138D" w:rsidRDefault="0004138D" w:rsidP="0004138D">
      <w:pPr>
        <w:tabs>
          <w:tab w:val="left" w:pos="0"/>
          <w:tab w:val="left" w:pos="709"/>
        </w:tabs>
        <w:spacing w:after="0" w:line="240" w:lineRule="auto"/>
        <w:ind w:right="-23"/>
        <w:jc w:val="both"/>
        <w:rPr>
          <w:bCs/>
        </w:rPr>
      </w:pPr>
    </w:p>
    <w:p w14:paraId="3F361F52" w14:textId="77777777" w:rsidR="0004138D" w:rsidRPr="0004138D" w:rsidRDefault="0004138D" w:rsidP="0004138D">
      <w:pPr>
        <w:tabs>
          <w:tab w:val="left" w:pos="0"/>
          <w:tab w:val="left" w:pos="709"/>
        </w:tabs>
        <w:spacing w:after="0" w:line="240" w:lineRule="auto"/>
        <w:ind w:right="-23"/>
        <w:jc w:val="both"/>
        <w:rPr>
          <w:bCs/>
        </w:rPr>
      </w:pPr>
      <w:r w:rsidRPr="0004138D">
        <w:rPr>
          <w:bCs/>
        </w:rPr>
        <w:t>The key risks identified and which the Board has reasonable expectation are appropriately mitigated are:</w:t>
      </w:r>
    </w:p>
    <w:p w14:paraId="1A5C503A" w14:textId="77777777" w:rsidR="0004138D" w:rsidRPr="0004138D" w:rsidRDefault="0004138D" w:rsidP="0004138D">
      <w:pPr>
        <w:tabs>
          <w:tab w:val="left" w:pos="0"/>
          <w:tab w:val="left" w:pos="709"/>
        </w:tabs>
        <w:spacing w:after="0" w:line="240" w:lineRule="auto"/>
        <w:ind w:right="-23"/>
        <w:jc w:val="both"/>
        <w:rPr>
          <w:bCs/>
        </w:rPr>
      </w:pPr>
    </w:p>
    <w:p w14:paraId="627E86D4" w14:textId="77777777" w:rsidR="0004138D" w:rsidRPr="0004138D" w:rsidRDefault="0004138D" w:rsidP="00404C97">
      <w:pPr>
        <w:numPr>
          <w:ilvl w:val="0"/>
          <w:numId w:val="46"/>
        </w:numPr>
        <w:tabs>
          <w:tab w:val="left" w:pos="0"/>
          <w:tab w:val="left" w:pos="709"/>
        </w:tabs>
        <w:spacing w:after="0" w:line="240" w:lineRule="auto"/>
        <w:ind w:left="426" w:right="-23" w:hanging="426"/>
        <w:jc w:val="both"/>
        <w:rPr>
          <w:bCs/>
        </w:rPr>
      </w:pPr>
      <w:r w:rsidRPr="0004138D">
        <w:rPr>
          <w:b/>
          <w:bCs/>
        </w:rPr>
        <w:t xml:space="preserve">Credit Risk </w:t>
      </w:r>
    </w:p>
    <w:p w14:paraId="2B0750FA" w14:textId="77777777" w:rsidR="0004138D" w:rsidRPr="0004138D" w:rsidRDefault="0004138D" w:rsidP="0004138D">
      <w:pPr>
        <w:tabs>
          <w:tab w:val="left" w:pos="0"/>
          <w:tab w:val="left" w:pos="709"/>
        </w:tabs>
        <w:spacing w:after="0" w:line="240" w:lineRule="auto"/>
        <w:ind w:right="-23"/>
        <w:jc w:val="both"/>
        <w:rPr>
          <w:bCs/>
        </w:rPr>
      </w:pPr>
      <w:r w:rsidRPr="0004138D">
        <w:rPr>
          <w:bCs/>
        </w:rPr>
        <w:t>The risk of default, potential write-off, disruption to cash flow and increased recovery costs on a debt that is either not repaid individually or if there is a wider market deterioration. This is mitigated by the Group adopting prescribed lending policies and adhering to strict credit and underwriting criteria specifically tailored to each business area. The Group also has the ability to 'broke-on' certain business rather than write it on its own-book if it is deemed necessary to manage risk.</w:t>
      </w:r>
    </w:p>
    <w:p w14:paraId="52BA581E" w14:textId="77777777" w:rsidR="0004138D" w:rsidRPr="0004138D" w:rsidRDefault="0004138D" w:rsidP="0004138D">
      <w:pPr>
        <w:tabs>
          <w:tab w:val="left" w:pos="0"/>
          <w:tab w:val="left" w:pos="709"/>
        </w:tabs>
        <w:spacing w:after="0" w:line="240" w:lineRule="auto"/>
        <w:ind w:right="-23"/>
        <w:jc w:val="both"/>
        <w:rPr>
          <w:bCs/>
        </w:rPr>
      </w:pPr>
    </w:p>
    <w:p w14:paraId="51D353CF" w14:textId="77777777" w:rsidR="0004138D" w:rsidRPr="0004138D" w:rsidRDefault="0004138D" w:rsidP="00404C97">
      <w:pPr>
        <w:numPr>
          <w:ilvl w:val="0"/>
          <w:numId w:val="46"/>
        </w:numPr>
        <w:tabs>
          <w:tab w:val="left" w:pos="0"/>
          <w:tab w:val="left" w:pos="709"/>
        </w:tabs>
        <w:spacing w:after="0" w:line="240" w:lineRule="auto"/>
        <w:ind w:left="426" w:right="-23"/>
        <w:jc w:val="both"/>
        <w:rPr>
          <w:bCs/>
        </w:rPr>
      </w:pPr>
      <w:r w:rsidRPr="0004138D">
        <w:rPr>
          <w:b/>
          <w:bCs/>
        </w:rPr>
        <w:t xml:space="preserve">Funding Risk </w:t>
      </w:r>
    </w:p>
    <w:p w14:paraId="33430F08" w14:textId="77777777" w:rsidR="0004138D" w:rsidRPr="0004138D" w:rsidRDefault="0004138D" w:rsidP="0004138D">
      <w:pPr>
        <w:tabs>
          <w:tab w:val="left" w:pos="0"/>
          <w:tab w:val="left" w:pos="709"/>
        </w:tabs>
        <w:spacing w:after="0" w:line="240" w:lineRule="auto"/>
        <w:ind w:right="-23"/>
        <w:jc w:val="both"/>
        <w:rPr>
          <w:bCs/>
        </w:rPr>
      </w:pPr>
      <w:r w:rsidRPr="0004138D">
        <w:rPr>
          <w:bCs/>
        </w:rPr>
        <w:t>The risk of the Group not being able to meet its current and future financial obligations over time, specifically that funding is not available to meet the Group's growth targets. The Group has funding facilities across Block Discounting, a Secured Loan Note programme and Back-to-Back invoice finance facilities, aggregating to £148m with ample headroom to meet its growth targets for the medium future. As detailed previously, should the opportunity arise to grow considerably faster than the medium-term plan anticipates, then the Group could decide to augment its funding with additional liquidity.</w:t>
      </w:r>
    </w:p>
    <w:p w14:paraId="2EA46FC9" w14:textId="77777777" w:rsidR="0004138D" w:rsidRPr="0004138D" w:rsidRDefault="0004138D" w:rsidP="0004138D">
      <w:pPr>
        <w:tabs>
          <w:tab w:val="left" w:pos="0"/>
          <w:tab w:val="left" w:pos="709"/>
        </w:tabs>
        <w:spacing w:after="0" w:line="240" w:lineRule="auto"/>
        <w:ind w:right="-23"/>
        <w:jc w:val="both"/>
        <w:rPr>
          <w:bCs/>
        </w:rPr>
      </w:pPr>
    </w:p>
    <w:p w14:paraId="75614F9A" w14:textId="77777777" w:rsidR="0004138D" w:rsidRPr="0004138D" w:rsidRDefault="0004138D" w:rsidP="00404C97">
      <w:pPr>
        <w:numPr>
          <w:ilvl w:val="0"/>
          <w:numId w:val="46"/>
        </w:numPr>
        <w:tabs>
          <w:tab w:val="left" w:pos="0"/>
          <w:tab w:val="left" w:pos="709"/>
        </w:tabs>
        <w:spacing w:after="0" w:line="240" w:lineRule="auto"/>
        <w:ind w:left="426" w:right="-23"/>
        <w:jc w:val="both"/>
        <w:rPr>
          <w:bCs/>
        </w:rPr>
      </w:pPr>
      <w:r w:rsidRPr="0004138D">
        <w:rPr>
          <w:b/>
          <w:bCs/>
        </w:rPr>
        <w:t>Regulatory Risk</w:t>
      </w:r>
      <w:r w:rsidRPr="0004138D">
        <w:rPr>
          <w:bCs/>
        </w:rPr>
        <w:t xml:space="preserve"> </w:t>
      </w:r>
    </w:p>
    <w:p w14:paraId="3137C221" w14:textId="77777777" w:rsidR="0004138D" w:rsidRPr="0004138D" w:rsidRDefault="0004138D" w:rsidP="0004138D">
      <w:pPr>
        <w:tabs>
          <w:tab w:val="left" w:pos="0"/>
          <w:tab w:val="left" w:pos="709"/>
        </w:tabs>
        <w:spacing w:after="0" w:line="240" w:lineRule="auto"/>
        <w:ind w:right="-23"/>
        <w:jc w:val="both"/>
        <w:rPr>
          <w:bCs/>
        </w:rPr>
      </w:pPr>
      <w:r w:rsidRPr="0004138D">
        <w:rPr>
          <w:bCs/>
        </w:rPr>
        <w:t>The risk of legal or regulatory action resulting in fines, penalties and sanctions that could arise from the Group's failure to identify and adhere to regulatory requirements in the UK. In addition, there is the risk that new or enhanced regulations could adversely impact the Group. The Group employs a Head of Compliance, who manages an independent compliance department with access to external advisors. The department looks both internally at the Group ensuring its practices are appropriate and externally at future developments to ensure the Group is prepared to adopt any changes in regulation as and when they arise.</w:t>
      </w:r>
    </w:p>
    <w:p w14:paraId="431F3724" w14:textId="77777777" w:rsidR="0004138D" w:rsidRPr="0004138D" w:rsidRDefault="0004138D" w:rsidP="0004138D">
      <w:pPr>
        <w:tabs>
          <w:tab w:val="left" w:pos="0"/>
          <w:tab w:val="left" w:pos="709"/>
        </w:tabs>
        <w:spacing w:after="0" w:line="240" w:lineRule="auto"/>
        <w:ind w:right="-23"/>
        <w:jc w:val="both"/>
        <w:rPr>
          <w:b/>
          <w:bCs/>
        </w:rPr>
      </w:pPr>
    </w:p>
    <w:p w14:paraId="1F93410A" w14:textId="77777777" w:rsidR="0004138D" w:rsidRPr="0004138D" w:rsidRDefault="0004138D" w:rsidP="0004138D">
      <w:pPr>
        <w:tabs>
          <w:tab w:val="left" w:pos="0"/>
          <w:tab w:val="left" w:pos="709"/>
        </w:tabs>
        <w:spacing w:after="0" w:line="240" w:lineRule="auto"/>
        <w:ind w:right="-23"/>
        <w:jc w:val="both"/>
        <w:rPr>
          <w:b/>
          <w:bCs/>
        </w:rPr>
      </w:pPr>
      <w:r w:rsidRPr="0004138D">
        <w:rPr>
          <w:b/>
          <w:bCs/>
        </w:rPr>
        <w:t>Summary</w:t>
      </w:r>
    </w:p>
    <w:p w14:paraId="6F32D1C1" w14:textId="77777777" w:rsidR="0004138D" w:rsidRPr="0004138D" w:rsidRDefault="0004138D" w:rsidP="0004138D">
      <w:pPr>
        <w:tabs>
          <w:tab w:val="left" w:pos="0"/>
          <w:tab w:val="left" w:pos="709"/>
        </w:tabs>
        <w:spacing w:after="0" w:line="240" w:lineRule="auto"/>
        <w:ind w:right="-23"/>
        <w:jc w:val="both"/>
        <w:rPr>
          <w:bCs/>
        </w:rPr>
      </w:pPr>
      <w:r w:rsidRPr="0004138D">
        <w:rPr>
          <w:bCs/>
        </w:rPr>
        <w:t xml:space="preserve">SMEs continue to face significant challenges with increasing interest rates, high inflation, disrupted supply chains and, in many sectors, a shortage of labour. Access to finance in order to provide the vital working capital for businesses to function and grow is therefore increasing in importance and this provides significant opportunities to alternative lenders like Time Finance.  We have a clear strategy to not only maximise these opportunities, but ensure growth is achieved in a sensible and robust way, given the risks the economic environment also poses. </w:t>
      </w:r>
    </w:p>
    <w:p w14:paraId="39CACA49" w14:textId="77777777" w:rsidR="0004138D" w:rsidRDefault="0004138D" w:rsidP="007B296C">
      <w:pPr>
        <w:tabs>
          <w:tab w:val="left" w:pos="0"/>
          <w:tab w:val="left" w:pos="709"/>
        </w:tabs>
        <w:spacing w:after="0" w:line="240" w:lineRule="auto"/>
        <w:ind w:right="-23"/>
        <w:jc w:val="both"/>
        <w:rPr>
          <w:bCs/>
        </w:rPr>
      </w:pPr>
    </w:p>
    <w:p w14:paraId="29A9F192" w14:textId="77777777" w:rsidR="009B3076" w:rsidRPr="00575747" w:rsidRDefault="009B3076" w:rsidP="00575747">
      <w:pPr>
        <w:tabs>
          <w:tab w:val="left" w:pos="0"/>
        </w:tabs>
        <w:spacing w:after="0" w:line="240" w:lineRule="auto"/>
        <w:ind w:right="-23"/>
        <w:rPr>
          <w:rFonts w:cstheme="minorHAnsi"/>
        </w:rPr>
      </w:pPr>
    </w:p>
    <w:p w14:paraId="77A52C14" w14:textId="77777777" w:rsidR="009B3076" w:rsidRPr="00575747" w:rsidRDefault="009B3076" w:rsidP="00575747">
      <w:pPr>
        <w:tabs>
          <w:tab w:val="left" w:pos="0"/>
        </w:tabs>
        <w:spacing w:after="0" w:line="240" w:lineRule="auto"/>
        <w:ind w:right="-23"/>
        <w:jc w:val="both"/>
        <w:rPr>
          <w:rFonts w:cstheme="minorHAnsi"/>
          <w:b/>
          <w:bCs/>
        </w:rPr>
      </w:pPr>
      <w:r w:rsidRPr="00575747">
        <w:rPr>
          <w:rFonts w:cstheme="minorHAnsi"/>
          <w:b/>
          <w:bCs/>
        </w:rPr>
        <w:t>Ed Rimmer</w:t>
      </w:r>
    </w:p>
    <w:p w14:paraId="6BC6BF33" w14:textId="6BDB1167" w:rsidR="00F54BDD" w:rsidRDefault="009B3076" w:rsidP="00704135">
      <w:pPr>
        <w:tabs>
          <w:tab w:val="left" w:pos="0"/>
        </w:tabs>
        <w:spacing w:after="0" w:line="240" w:lineRule="auto"/>
        <w:ind w:right="-23"/>
        <w:jc w:val="both"/>
        <w:rPr>
          <w:rFonts w:cstheme="minorHAnsi"/>
        </w:rPr>
      </w:pPr>
      <w:r w:rsidRPr="00575747">
        <w:rPr>
          <w:rFonts w:cstheme="minorHAnsi"/>
        </w:rPr>
        <w:t>Chief Executive Officer</w:t>
      </w:r>
    </w:p>
    <w:p w14:paraId="70998D30" w14:textId="77465A5D" w:rsidR="00404C97" w:rsidRDefault="00404C97">
      <w:pPr>
        <w:rPr>
          <w:rFonts w:cstheme="minorHAnsi"/>
        </w:rPr>
      </w:pPr>
      <w:r>
        <w:rPr>
          <w:rFonts w:cstheme="minorHAnsi"/>
        </w:rPr>
        <w:br w:type="page"/>
      </w:r>
    </w:p>
    <w:p w14:paraId="3EF2573C" w14:textId="77777777" w:rsidR="00A70AF5" w:rsidRPr="00704135" w:rsidRDefault="00887F65" w:rsidP="00A70AF5">
      <w:pPr>
        <w:widowControl w:val="0"/>
        <w:tabs>
          <w:tab w:val="left" w:pos="0"/>
        </w:tabs>
        <w:autoSpaceDE w:val="0"/>
        <w:autoSpaceDN w:val="0"/>
        <w:adjustRightInd w:val="0"/>
        <w:spacing w:after="0" w:line="240" w:lineRule="auto"/>
        <w:ind w:right="941"/>
        <w:rPr>
          <w:rFonts w:eastAsia="Times New Roman" w:cstheme="minorHAnsi"/>
          <w:b/>
          <w:bCs/>
          <w:color w:val="000000"/>
          <w:lang w:eastAsia="en-GB"/>
        </w:rPr>
      </w:pPr>
      <w:r w:rsidRPr="00704135">
        <w:rPr>
          <w:rFonts w:eastAsia="Times New Roman" w:cstheme="minorHAnsi"/>
          <w:b/>
          <w:bCs/>
          <w:color w:val="000000"/>
          <w:lang w:eastAsia="en-GB"/>
        </w:rPr>
        <w:lastRenderedPageBreak/>
        <w:t>CONSOLIDATED INCOME STATEMENT</w:t>
      </w:r>
    </w:p>
    <w:p w14:paraId="6CBFE6D6" w14:textId="25E861E6" w:rsidR="00C25574" w:rsidRPr="00704135" w:rsidRDefault="00887F65" w:rsidP="00A70AF5">
      <w:pPr>
        <w:widowControl w:val="0"/>
        <w:tabs>
          <w:tab w:val="left" w:pos="0"/>
        </w:tabs>
        <w:autoSpaceDE w:val="0"/>
        <w:autoSpaceDN w:val="0"/>
        <w:adjustRightInd w:val="0"/>
        <w:spacing w:after="0" w:line="240" w:lineRule="auto"/>
        <w:ind w:right="941"/>
        <w:rPr>
          <w:rFonts w:eastAsia="Times New Roman" w:cstheme="minorHAnsi"/>
          <w:b/>
          <w:bCs/>
          <w:color w:val="000000"/>
          <w:lang w:eastAsia="en-GB"/>
        </w:rPr>
      </w:pPr>
      <w:r w:rsidRPr="00704135">
        <w:rPr>
          <w:rFonts w:eastAsia="Times New Roman" w:cstheme="minorHAnsi"/>
          <w:b/>
          <w:bCs/>
          <w:color w:val="000000"/>
          <w:lang w:eastAsia="en-GB"/>
        </w:rPr>
        <w:t>FOR THE YEAR ENDED 31 MAY 20</w:t>
      </w:r>
      <w:r w:rsidR="002D5CEA" w:rsidRPr="00704135">
        <w:rPr>
          <w:rFonts w:eastAsia="Times New Roman" w:cstheme="minorHAnsi"/>
          <w:b/>
          <w:bCs/>
          <w:color w:val="000000"/>
          <w:lang w:eastAsia="en-GB"/>
        </w:rPr>
        <w:t>2</w:t>
      </w:r>
      <w:r w:rsidR="00C0367C">
        <w:rPr>
          <w:rFonts w:eastAsia="Times New Roman" w:cstheme="minorHAnsi"/>
          <w:b/>
          <w:bCs/>
          <w:color w:val="000000"/>
          <w:lang w:eastAsia="en-GB"/>
        </w:rPr>
        <w:t>3</w:t>
      </w:r>
    </w:p>
    <w:p w14:paraId="21CB8CDC" w14:textId="77777777" w:rsidR="00C91916" w:rsidRPr="00C91916" w:rsidRDefault="00C91916" w:rsidP="00C91916">
      <w:pPr>
        <w:widowControl w:val="0"/>
        <w:autoSpaceDE w:val="0"/>
        <w:autoSpaceDN w:val="0"/>
        <w:adjustRightInd w:val="0"/>
        <w:spacing w:after="0" w:line="240" w:lineRule="auto"/>
        <w:rPr>
          <w:rFonts w:ascii="Times New Roman" w:eastAsiaTheme="minorEastAsia" w:hAnsi="Times New Roman" w:cs="Times New Roman"/>
          <w:color w:val="FF0000"/>
          <w:lang w:eastAsia="en-GB"/>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1035"/>
        <w:gridCol w:w="1141"/>
        <w:gridCol w:w="898"/>
        <w:gridCol w:w="1035"/>
        <w:gridCol w:w="1141"/>
        <w:gridCol w:w="898"/>
      </w:tblGrid>
      <w:tr w:rsidR="00C91916" w:rsidRPr="00C91916" w14:paraId="399DDE5A" w14:textId="77777777" w:rsidTr="00C91916">
        <w:tc>
          <w:tcPr>
            <w:tcW w:w="2599" w:type="dxa"/>
            <w:tcBorders>
              <w:bottom w:val="single" w:sz="4" w:space="0" w:color="auto"/>
            </w:tcBorders>
          </w:tcPr>
          <w:p w14:paraId="18E7926A" w14:textId="77777777" w:rsidR="00C91916" w:rsidRPr="00C91916" w:rsidRDefault="00C91916" w:rsidP="00C91916">
            <w:pPr>
              <w:rPr>
                <w:rFonts w:ascii="Arial" w:hAnsi="Arial" w:cs="Arial"/>
                <w:color w:val="000000" w:themeColor="text1"/>
                <w:sz w:val="16"/>
                <w:szCs w:val="16"/>
              </w:rPr>
            </w:pPr>
          </w:p>
        </w:tc>
        <w:tc>
          <w:tcPr>
            <w:tcW w:w="1035" w:type="dxa"/>
            <w:tcBorders>
              <w:bottom w:val="single" w:sz="4" w:space="0" w:color="auto"/>
            </w:tcBorders>
          </w:tcPr>
          <w:p w14:paraId="281CF7E4"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Continuing Operations</w:t>
            </w:r>
          </w:p>
          <w:p w14:paraId="7A5E9E65"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2023</w:t>
            </w:r>
          </w:p>
          <w:p w14:paraId="1AEF8E37"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£’000</w:t>
            </w:r>
          </w:p>
        </w:tc>
        <w:tc>
          <w:tcPr>
            <w:tcW w:w="1141" w:type="dxa"/>
            <w:tcBorders>
              <w:bottom w:val="single" w:sz="4" w:space="0" w:color="auto"/>
            </w:tcBorders>
          </w:tcPr>
          <w:p w14:paraId="732FA1D4"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Discontinued Operations</w:t>
            </w:r>
          </w:p>
          <w:p w14:paraId="056037A8"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2023</w:t>
            </w:r>
          </w:p>
          <w:p w14:paraId="5743E266"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£’000</w:t>
            </w:r>
          </w:p>
        </w:tc>
        <w:tc>
          <w:tcPr>
            <w:tcW w:w="898" w:type="dxa"/>
            <w:tcBorders>
              <w:bottom w:val="single" w:sz="4" w:space="0" w:color="auto"/>
            </w:tcBorders>
          </w:tcPr>
          <w:p w14:paraId="62515000" w14:textId="77777777" w:rsidR="00C91916" w:rsidRPr="00C91916" w:rsidRDefault="00C91916" w:rsidP="00C91916">
            <w:pPr>
              <w:jc w:val="right"/>
              <w:rPr>
                <w:rFonts w:ascii="Arial" w:hAnsi="Arial" w:cs="Arial"/>
                <w:b/>
                <w:bCs/>
                <w:color w:val="000000" w:themeColor="text1"/>
                <w:sz w:val="16"/>
                <w:szCs w:val="16"/>
              </w:rPr>
            </w:pPr>
          </w:p>
          <w:p w14:paraId="6476EDE2"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Total</w:t>
            </w:r>
          </w:p>
          <w:p w14:paraId="4190E7CB"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2023</w:t>
            </w:r>
          </w:p>
          <w:p w14:paraId="6F1937C7"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£’000</w:t>
            </w:r>
          </w:p>
        </w:tc>
        <w:tc>
          <w:tcPr>
            <w:tcW w:w="1035" w:type="dxa"/>
            <w:tcBorders>
              <w:bottom w:val="single" w:sz="4" w:space="0" w:color="auto"/>
            </w:tcBorders>
          </w:tcPr>
          <w:p w14:paraId="357DAFC0"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Continuing Operations</w:t>
            </w:r>
          </w:p>
          <w:p w14:paraId="31CC264D"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2022</w:t>
            </w:r>
          </w:p>
          <w:p w14:paraId="7FE631BC"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£’000</w:t>
            </w:r>
          </w:p>
        </w:tc>
        <w:tc>
          <w:tcPr>
            <w:tcW w:w="1141" w:type="dxa"/>
            <w:tcBorders>
              <w:bottom w:val="single" w:sz="4" w:space="0" w:color="auto"/>
            </w:tcBorders>
          </w:tcPr>
          <w:p w14:paraId="3D0EEA5D"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Discontinued Operations 2022</w:t>
            </w:r>
          </w:p>
          <w:p w14:paraId="0041CF60"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£’000</w:t>
            </w:r>
          </w:p>
        </w:tc>
        <w:tc>
          <w:tcPr>
            <w:tcW w:w="898" w:type="dxa"/>
            <w:tcBorders>
              <w:bottom w:val="single" w:sz="4" w:space="0" w:color="auto"/>
            </w:tcBorders>
          </w:tcPr>
          <w:p w14:paraId="77BD4454" w14:textId="77777777" w:rsidR="00C91916" w:rsidRPr="00C91916" w:rsidRDefault="00C91916" w:rsidP="00C91916">
            <w:pPr>
              <w:jc w:val="right"/>
              <w:rPr>
                <w:rFonts w:ascii="Arial" w:hAnsi="Arial" w:cs="Arial"/>
                <w:b/>
                <w:bCs/>
                <w:sz w:val="16"/>
                <w:szCs w:val="16"/>
              </w:rPr>
            </w:pPr>
          </w:p>
          <w:p w14:paraId="32F33C09"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Total</w:t>
            </w:r>
          </w:p>
          <w:p w14:paraId="3852EE53"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2022</w:t>
            </w:r>
          </w:p>
          <w:p w14:paraId="608DC3D0"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£’000</w:t>
            </w:r>
          </w:p>
        </w:tc>
      </w:tr>
      <w:tr w:rsidR="00C91916" w:rsidRPr="00C91916" w14:paraId="5F249F7B" w14:textId="77777777" w:rsidTr="00C91916">
        <w:trPr>
          <w:trHeight w:val="284"/>
        </w:trPr>
        <w:tc>
          <w:tcPr>
            <w:tcW w:w="2599" w:type="dxa"/>
            <w:tcBorders>
              <w:top w:val="single" w:sz="4" w:space="0" w:color="auto"/>
            </w:tcBorders>
          </w:tcPr>
          <w:p w14:paraId="7867E9B9"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Revenue</w:t>
            </w:r>
          </w:p>
        </w:tc>
        <w:tc>
          <w:tcPr>
            <w:tcW w:w="1035" w:type="dxa"/>
            <w:tcBorders>
              <w:top w:val="single" w:sz="4" w:space="0" w:color="auto"/>
            </w:tcBorders>
          </w:tcPr>
          <w:p w14:paraId="1D1826F6"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26,968</w:t>
            </w:r>
          </w:p>
        </w:tc>
        <w:tc>
          <w:tcPr>
            <w:tcW w:w="1141" w:type="dxa"/>
            <w:tcBorders>
              <w:top w:val="single" w:sz="4" w:space="0" w:color="auto"/>
            </w:tcBorders>
          </w:tcPr>
          <w:p w14:paraId="429B6F41"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602</w:t>
            </w:r>
          </w:p>
        </w:tc>
        <w:tc>
          <w:tcPr>
            <w:tcW w:w="898" w:type="dxa"/>
            <w:tcBorders>
              <w:top w:val="single" w:sz="4" w:space="0" w:color="auto"/>
            </w:tcBorders>
          </w:tcPr>
          <w:p w14:paraId="6007D9D1"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27,570</w:t>
            </w:r>
          </w:p>
        </w:tc>
        <w:tc>
          <w:tcPr>
            <w:tcW w:w="1035" w:type="dxa"/>
            <w:tcBorders>
              <w:top w:val="single" w:sz="4" w:space="0" w:color="auto"/>
            </w:tcBorders>
          </w:tcPr>
          <w:p w14:paraId="283C1286"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22,488</w:t>
            </w:r>
          </w:p>
        </w:tc>
        <w:tc>
          <w:tcPr>
            <w:tcW w:w="1141" w:type="dxa"/>
            <w:tcBorders>
              <w:top w:val="single" w:sz="4" w:space="0" w:color="auto"/>
            </w:tcBorders>
          </w:tcPr>
          <w:p w14:paraId="239F723A"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1,123</w:t>
            </w:r>
          </w:p>
        </w:tc>
        <w:tc>
          <w:tcPr>
            <w:tcW w:w="898" w:type="dxa"/>
            <w:tcBorders>
              <w:top w:val="single" w:sz="4" w:space="0" w:color="auto"/>
            </w:tcBorders>
          </w:tcPr>
          <w:p w14:paraId="36EDE2DA"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23,611</w:t>
            </w:r>
          </w:p>
        </w:tc>
      </w:tr>
      <w:tr w:rsidR="00C91916" w:rsidRPr="00C91916" w14:paraId="6D1C4524" w14:textId="77777777" w:rsidTr="00C91916">
        <w:trPr>
          <w:trHeight w:val="284"/>
        </w:trPr>
        <w:tc>
          <w:tcPr>
            <w:tcW w:w="2599" w:type="dxa"/>
            <w:tcBorders>
              <w:bottom w:val="single" w:sz="4" w:space="0" w:color="auto"/>
            </w:tcBorders>
          </w:tcPr>
          <w:p w14:paraId="1B072D2B"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Other Income</w:t>
            </w:r>
          </w:p>
        </w:tc>
        <w:tc>
          <w:tcPr>
            <w:tcW w:w="1035" w:type="dxa"/>
            <w:tcBorders>
              <w:bottom w:val="single" w:sz="4" w:space="0" w:color="auto"/>
            </w:tcBorders>
          </w:tcPr>
          <w:p w14:paraId="62583FFE"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w:t>
            </w:r>
          </w:p>
        </w:tc>
        <w:tc>
          <w:tcPr>
            <w:tcW w:w="1141" w:type="dxa"/>
            <w:tcBorders>
              <w:bottom w:val="single" w:sz="4" w:space="0" w:color="auto"/>
            </w:tcBorders>
          </w:tcPr>
          <w:p w14:paraId="6E9BD068"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w:t>
            </w:r>
          </w:p>
        </w:tc>
        <w:tc>
          <w:tcPr>
            <w:tcW w:w="898" w:type="dxa"/>
            <w:tcBorders>
              <w:bottom w:val="single" w:sz="4" w:space="0" w:color="auto"/>
            </w:tcBorders>
          </w:tcPr>
          <w:p w14:paraId="6A971D84"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w:t>
            </w:r>
          </w:p>
        </w:tc>
        <w:tc>
          <w:tcPr>
            <w:tcW w:w="1035" w:type="dxa"/>
            <w:tcBorders>
              <w:bottom w:val="single" w:sz="4" w:space="0" w:color="auto"/>
            </w:tcBorders>
          </w:tcPr>
          <w:p w14:paraId="425434FC"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22</w:t>
            </w:r>
          </w:p>
        </w:tc>
        <w:tc>
          <w:tcPr>
            <w:tcW w:w="1141" w:type="dxa"/>
            <w:tcBorders>
              <w:bottom w:val="single" w:sz="4" w:space="0" w:color="auto"/>
            </w:tcBorders>
          </w:tcPr>
          <w:p w14:paraId="33816DD5"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7</w:t>
            </w:r>
          </w:p>
        </w:tc>
        <w:tc>
          <w:tcPr>
            <w:tcW w:w="898" w:type="dxa"/>
            <w:tcBorders>
              <w:bottom w:val="single" w:sz="4" w:space="0" w:color="auto"/>
            </w:tcBorders>
          </w:tcPr>
          <w:p w14:paraId="075F4665"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29</w:t>
            </w:r>
          </w:p>
        </w:tc>
      </w:tr>
      <w:tr w:rsidR="00C91916" w:rsidRPr="00C91916" w14:paraId="0911C03D" w14:textId="77777777" w:rsidTr="00C91916">
        <w:trPr>
          <w:trHeight w:val="284"/>
        </w:trPr>
        <w:tc>
          <w:tcPr>
            <w:tcW w:w="2599" w:type="dxa"/>
            <w:tcBorders>
              <w:top w:val="single" w:sz="4" w:space="0" w:color="auto"/>
              <w:bottom w:val="single" w:sz="4" w:space="0" w:color="auto"/>
            </w:tcBorders>
          </w:tcPr>
          <w:p w14:paraId="7095559C" w14:textId="77777777" w:rsidR="00C91916" w:rsidRPr="00C91916" w:rsidRDefault="00C91916" w:rsidP="00C91916">
            <w:pPr>
              <w:rPr>
                <w:rFonts w:ascii="Arial" w:hAnsi="Arial" w:cs="Arial"/>
                <w:b/>
                <w:bCs/>
                <w:color w:val="000000" w:themeColor="text1"/>
                <w:sz w:val="16"/>
                <w:szCs w:val="16"/>
              </w:rPr>
            </w:pPr>
            <w:r w:rsidRPr="00C91916">
              <w:rPr>
                <w:rFonts w:ascii="Arial" w:hAnsi="Arial" w:cs="Arial"/>
                <w:b/>
                <w:bCs/>
                <w:color w:val="000000" w:themeColor="text1"/>
                <w:sz w:val="16"/>
                <w:szCs w:val="16"/>
              </w:rPr>
              <w:t>Total Revenue</w:t>
            </w:r>
          </w:p>
        </w:tc>
        <w:tc>
          <w:tcPr>
            <w:tcW w:w="1035" w:type="dxa"/>
            <w:tcBorders>
              <w:top w:val="single" w:sz="4" w:space="0" w:color="auto"/>
              <w:bottom w:val="single" w:sz="4" w:space="0" w:color="auto"/>
            </w:tcBorders>
          </w:tcPr>
          <w:p w14:paraId="6B501B05"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26,968</w:t>
            </w:r>
          </w:p>
        </w:tc>
        <w:tc>
          <w:tcPr>
            <w:tcW w:w="1141" w:type="dxa"/>
            <w:tcBorders>
              <w:top w:val="single" w:sz="4" w:space="0" w:color="auto"/>
              <w:bottom w:val="single" w:sz="4" w:space="0" w:color="auto"/>
            </w:tcBorders>
          </w:tcPr>
          <w:p w14:paraId="7B297C5C"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602</w:t>
            </w:r>
          </w:p>
        </w:tc>
        <w:tc>
          <w:tcPr>
            <w:tcW w:w="898" w:type="dxa"/>
            <w:tcBorders>
              <w:top w:val="single" w:sz="4" w:space="0" w:color="auto"/>
              <w:bottom w:val="single" w:sz="4" w:space="0" w:color="auto"/>
            </w:tcBorders>
          </w:tcPr>
          <w:p w14:paraId="0194C4D8"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27,570</w:t>
            </w:r>
          </w:p>
        </w:tc>
        <w:tc>
          <w:tcPr>
            <w:tcW w:w="1035" w:type="dxa"/>
            <w:tcBorders>
              <w:top w:val="single" w:sz="4" w:space="0" w:color="auto"/>
              <w:bottom w:val="single" w:sz="4" w:space="0" w:color="auto"/>
            </w:tcBorders>
          </w:tcPr>
          <w:p w14:paraId="435049D7"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22,510</w:t>
            </w:r>
          </w:p>
        </w:tc>
        <w:tc>
          <w:tcPr>
            <w:tcW w:w="1141" w:type="dxa"/>
            <w:tcBorders>
              <w:top w:val="single" w:sz="4" w:space="0" w:color="auto"/>
              <w:bottom w:val="single" w:sz="4" w:space="0" w:color="auto"/>
            </w:tcBorders>
          </w:tcPr>
          <w:p w14:paraId="7A2D9FDC"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1,130</w:t>
            </w:r>
          </w:p>
        </w:tc>
        <w:tc>
          <w:tcPr>
            <w:tcW w:w="898" w:type="dxa"/>
            <w:tcBorders>
              <w:top w:val="single" w:sz="4" w:space="0" w:color="auto"/>
              <w:bottom w:val="single" w:sz="4" w:space="0" w:color="auto"/>
            </w:tcBorders>
          </w:tcPr>
          <w:p w14:paraId="435AAFA9"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23,640</w:t>
            </w:r>
          </w:p>
        </w:tc>
      </w:tr>
      <w:tr w:rsidR="00C91916" w:rsidRPr="00C91916" w14:paraId="763CF1CD" w14:textId="77777777" w:rsidTr="00C91916">
        <w:trPr>
          <w:trHeight w:val="284"/>
        </w:trPr>
        <w:tc>
          <w:tcPr>
            <w:tcW w:w="2599" w:type="dxa"/>
            <w:tcBorders>
              <w:bottom w:val="single" w:sz="4" w:space="0" w:color="auto"/>
            </w:tcBorders>
          </w:tcPr>
          <w:p w14:paraId="0345C630"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Cost of Sales</w:t>
            </w:r>
          </w:p>
        </w:tc>
        <w:tc>
          <w:tcPr>
            <w:tcW w:w="1035" w:type="dxa"/>
            <w:tcBorders>
              <w:bottom w:val="single" w:sz="4" w:space="0" w:color="auto"/>
            </w:tcBorders>
          </w:tcPr>
          <w:p w14:paraId="34AB2783"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(11,172)</w:t>
            </w:r>
          </w:p>
        </w:tc>
        <w:tc>
          <w:tcPr>
            <w:tcW w:w="1141" w:type="dxa"/>
            <w:tcBorders>
              <w:bottom w:val="single" w:sz="4" w:space="0" w:color="auto"/>
            </w:tcBorders>
          </w:tcPr>
          <w:p w14:paraId="25178B3B"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(227)</w:t>
            </w:r>
          </w:p>
        </w:tc>
        <w:tc>
          <w:tcPr>
            <w:tcW w:w="898" w:type="dxa"/>
            <w:tcBorders>
              <w:bottom w:val="single" w:sz="4" w:space="0" w:color="auto"/>
            </w:tcBorders>
          </w:tcPr>
          <w:p w14:paraId="13452A95"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(11,399)</w:t>
            </w:r>
          </w:p>
        </w:tc>
        <w:tc>
          <w:tcPr>
            <w:tcW w:w="1035" w:type="dxa"/>
            <w:tcBorders>
              <w:bottom w:val="single" w:sz="4" w:space="0" w:color="auto"/>
            </w:tcBorders>
          </w:tcPr>
          <w:p w14:paraId="5F7F48EE"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(8,061)</w:t>
            </w:r>
          </w:p>
        </w:tc>
        <w:tc>
          <w:tcPr>
            <w:tcW w:w="1141" w:type="dxa"/>
            <w:tcBorders>
              <w:bottom w:val="single" w:sz="4" w:space="0" w:color="auto"/>
            </w:tcBorders>
          </w:tcPr>
          <w:p w14:paraId="311DB225"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(587)</w:t>
            </w:r>
          </w:p>
        </w:tc>
        <w:tc>
          <w:tcPr>
            <w:tcW w:w="898" w:type="dxa"/>
            <w:tcBorders>
              <w:bottom w:val="single" w:sz="4" w:space="0" w:color="auto"/>
            </w:tcBorders>
          </w:tcPr>
          <w:p w14:paraId="5B480D8E"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(8,648)</w:t>
            </w:r>
          </w:p>
        </w:tc>
      </w:tr>
      <w:tr w:rsidR="00C91916" w:rsidRPr="00C91916" w14:paraId="4EF54212" w14:textId="77777777" w:rsidTr="00C91916">
        <w:trPr>
          <w:trHeight w:val="284"/>
        </w:trPr>
        <w:tc>
          <w:tcPr>
            <w:tcW w:w="2599" w:type="dxa"/>
            <w:tcBorders>
              <w:top w:val="single" w:sz="4" w:space="0" w:color="auto"/>
            </w:tcBorders>
          </w:tcPr>
          <w:p w14:paraId="1B1530EC" w14:textId="77777777" w:rsidR="00C91916" w:rsidRPr="00C91916" w:rsidRDefault="00C91916" w:rsidP="00C91916">
            <w:pPr>
              <w:rPr>
                <w:rFonts w:ascii="Arial" w:hAnsi="Arial" w:cs="Arial"/>
                <w:b/>
                <w:bCs/>
                <w:color w:val="000000" w:themeColor="text1"/>
                <w:sz w:val="16"/>
                <w:szCs w:val="16"/>
              </w:rPr>
            </w:pPr>
            <w:r w:rsidRPr="00C91916">
              <w:rPr>
                <w:rFonts w:ascii="Arial" w:hAnsi="Arial" w:cs="Arial"/>
                <w:b/>
                <w:bCs/>
                <w:color w:val="000000" w:themeColor="text1"/>
                <w:sz w:val="16"/>
                <w:szCs w:val="16"/>
              </w:rPr>
              <w:t>GROSS PROFIT</w:t>
            </w:r>
          </w:p>
        </w:tc>
        <w:tc>
          <w:tcPr>
            <w:tcW w:w="1035" w:type="dxa"/>
            <w:tcBorders>
              <w:top w:val="single" w:sz="4" w:space="0" w:color="auto"/>
            </w:tcBorders>
          </w:tcPr>
          <w:p w14:paraId="58E126BB"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15,796</w:t>
            </w:r>
          </w:p>
        </w:tc>
        <w:tc>
          <w:tcPr>
            <w:tcW w:w="1141" w:type="dxa"/>
            <w:tcBorders>
              <w:top w:val="single" w:sz="4" w:space="0" w:color="auto"/>
            </w:tcBorders>
          </w:tcPr>
          <w:p w14:paraId="5097CB98"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375</w:t>
            </w:r>
          </w:p>
        </w:tc>
        <w:tc>
          <w:tcPr>
            <w:tcW w:w="898" w:type="dxa"/>
            <w:tcBorders>
              <w:top w:val="single" w:sz="4" w:space="0" w:color="auto"/>
            </w:tcBorders>
          </w:tcPr>
          <w:p w14:paraId="6A6A6321"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16,171</w:t>
            </w:r>
          </w:p>
        </w:tc>
        <w:tc>
          <w:tcPr>
            <w:tcW w:w="1035" w:type="dxa"/>
            <w:tcBorders>
              <w:top w:val="single" w:sz="4" w:space="0" w:color="auto"/>
            </w:tcBorders>
          </w:tcPr>
          <w:p w14:paraId="0E69CBD2"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14,449</w:t>
            </w:r>
          </w:p>
        </w:tc>
        <w:tc>
          <w:tcPr>
            <w:tcW w:w="1141" w:type="dxa"/>
            <w:tcBorders>
              <w:top w:val="single" w:sz="4" w:space="0" w:color="auto"/>
            </w:tcBorders>
          </w:tcPr>
          <w:p w14:paraId="0BBD012C"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543</w:t>
            </w:r>
          </w:p>
        </w:tc>
        <w:tc>
          <w:tcPr>
            <w:tcW w:w="898" w:type="dxa"/>
            <w:tcBorders>
              <w:top w:val="single" w:sz="4" w:space="0" w:color="auto"/>
            </w:tcBorders>
          </w:tcPr>
          <w:p w14:paraId="6CE2AC34"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14,992</w:t>
            </w:r>
          </w:p>
        </w:tc>
      </w:tr>
      <w:tr w:rsidR="00C91916" w:rsidRPr="00C91916" w14:paraId="3399C78B" w14:textId="77777777" w:rsidTr="00C91916">
        <w:trPr>
          <w:trHeight w:val="284"/>
        </w:trPr>
        <w:tc>
          <w:tcPr>
            <w:tcW w:w="2599" w:type="dxa"/>
          </w:tcPr>
          <w:p w14:paraId="31F49E0E" w14:textId="77777777" w:rsidR="00C91916" w:rsidRPr="00C91916" w:rsidRDefault="00C91916" w:rsidP="00C91916">
            <w:pPr>
              <w:rPr>
                <w:rFonts w:ascii="Arial" w:hAnsi="Arial" w:cs="Arial"/>
                <w:color w:val="000000" w:themeColor="text1"/>
                <w:sz w:val="16"/>
                <w:szCs w:val="16"/>
              </w:rPr>
            </w:pPr>
          </w:p>
        </w:tc>
        <w:tc>
          <w:tcPr>
            <w:tcW w:w="1035" w:type="dxa"/>
            <w:shd w:val="clear" w:color="auto" w:fill="auto"/>
          </w:tcPr>
          <w:p w14:paraId="5C51617B" w14:textId="77777777" w:rsidR="00C91916" w:rsidRPr="00C91916" w:rsidRDefault="00C91916" w:rsidP="00C91916">
            <w:pPr>
              <w:jc w:val="right"/>
              <w:rPr>
                <w:rFonts w:ascii="Arial" w:hAnsi="Arial" w:cs="Arial"/>
                <w:color w:val="000000" w:themeColor="text1"/>
                <w:sz w:val="16"/>
                <w:szCs w:val="16"/>
              </w:rPr>
            </w:pPr>
          </w:p>
        </w:tc>
        <w:tc>
          <w:tcPr>
            <w:tcW w:w="1141" w:type="dxa"/>
            <w:shd w:val="clear" w:color="auto" w:fill="auto"/>
          </w:tcPr>
          <w:p w14:paraId="3915A392" w14:textId="77777777" w:rsidR="00C91916" w:rsidRPr="00C91916" w:rsidRDefault="00C91916" w:rsidP="00C91916">
            <w:pPr>
              <w:jc w:val="right"/>
              <w:rPr>
                <w:rFonts w:ascii="Arial" w:hAnsi="Arial" w:cs="Arial"/>
                <w:color w:val="000000" w:themeColor="text1"/>
                <w:sz w:val="16"/>
                <w:szCs w:val="16"/>
              </w:rPr>
            </w:pPr>
          </w:p>
        </w:tc>
        <w:tc>
          <w:tcPr>
            <w:tcW w:w="898" w:type="dxa"/>
            <w:shd w:val="clear" w:color="auto" w:fill="auto"/>
          </w:tcPr>
          <w:p w14:paraId="0E30E37F" w14:textId="77777777" w:rsidR="00C91916" w:rsidRPr="00C91916" w:rsidRDefault="00C91916" w:rsidP="00C91916">
            <w:pPr>
              <w:jc w:val="right"/>
              <w:rPr>
                <w:rFonts w:ascii="Arial" w:hAnsi="Arial" w:cs="Arial"/>
                <w:b/>
                <w:bCs/>
                <w:color w:val="000000" w:themeColor="text1"/>
                <w:sz w:val="16"/>
                <w:szCs w:val="16"/>
              </w:rPr>
            </w:pPr>
          </w:p>
        </w:tc>
        <w:tc>
          <w:tcPr>
            <w:tcW w:w="1035" w:type="dxa"/>
          </w:tcPr>
          <w:p w14:paraId="04942F3F" w14:textId="77777777" w:rsidR="00C91916" w:rsidRPr="00C91916" w:rsidRDefault="00C91916" w:rsidP="00C91916">
            <w:pPr>
              <w:jc w:val="right"/>
              <w:rPr>
                <w:rFonts w:ascii="Arial" w:hAnsi="Arial" w:cs="Arial"/>
                <w:sz w:val="16"/>
                <w:szCs w:val="16"/>
              </w:rPr>
            </w:pPr>
          </w:p>
        </w:tc>
        <w:tc>
          <w:tcPr>
            <w:tcW w:w="1141" w:type="dxa"/>
          </w:tcPr>
          <w:p w14:paraId="43E52887" w14:textId="77777777" w:rsidR="00C91916" w:rsidRPr="00C91916" w:rsidRDefault="00C91916" w:rsidP="00C91916">
            <w:pPr>
              <w:jc w:val="right"/>
              <w:rPr>
                <w:rFonts w:ascii="Arial" w:hAnsi="Arial" w:cs="Arial"/>
                <w:sz w:val="16"/>
                <w:szCs w:val="16"/>
              </w:rPr>
            </w:pPr>
          </w:p>
        </w:tc>
        <w:tc>
          <w:tcPr>
            <w:tcW w:w="898" w:type="dxa"/>
          </w:tcPr>
          <w:p w14:paraId="49509610" w14:textId="77777777" w:rsidR="00C91916" w:rsidRPr="00C91916" w:rsidRDefault="00C91916" w:rsidP="00C91916">
            <w:pPr>
              <w:jc w:val="right"/>
              <w:rPr>
                <w:rFonts w:ascii="Arial" w:hAnsi="Arial" w:cs="Arial"/>
                <w:b/>
                <w:bCs/>
                <w:sz w:val="16"/>
                <w:szCs w:val="16"/>
              </w:rPr>
            </w:pPr>
          </w:p>
        </w:tc>
      </w:tr>
      <w:tr w:rsidR="00C91916" w:rsidRPr="00C91916" w14:paraId="388D85F9" w14:textId="77777777" w:rsidTr="00C91916">
        <w:trPr>
          <w:trHeight w:val="284"/>
        </w:trPr>
        <w:tc>
          <w:tcPr>
            <w:tcW w:w="2599" w:type="dxa"/>
          </w:tcPr>
          <w:p w14:paraId="2D88F045"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Administrative expenses</w:t>
            </w:r>
          </w:p>
        </w:tc>
        <w:tc>
          <w:tcPr>
            <w:tcW w:w="1035" w:type="dxa"/>
            <w:shd w:val="clear" w:color="auto" w:fill="auto"/>
          </w:tcPr>
          <w:p w14:paraId="4C56C2A0"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(11,371)</w:t>
            </w:r>
          </w:p>
        </w:tc>
        <w:tc>
          <w:tcPr>
            <w:tcW w:w="1141" w:type="dxa"/>
            <w:shd w:val="clear" w:color="auto" w:fill="auto"/>
          </w:tcPr>
          <w:p w14:paraId="377561BF"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(277)</w:t>
            </w:r>
          </w:p>
        </w:tc>
        <w:tc>
          <w:tcPr>
            <w:tcW w:w="898" w:type="dxa"/>
            <w:shd w:val="clear" w:color="auto" w:fill="auto"/>
          </w:tcPr>
          <w:p w14:paraId="2D33AC43"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(11,648)</w:t>
            </w:r>
          </w:p>
        </w:tc>
        <w:tc>
          <w:tcPr>
            <w:tcW w:w="1035" w:type="dxa"/>
          </w:tcPr>
          <w:p w14:paraId="326451F2"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(11,059)</w:t>
            </w:r>
          </w:p>
        </w:tc>
        <w:tc>
          <w:tcPr>
            <w:tcW w:w="1141" w:type="dxa"/>
          </w:tcPr>
          <w:p w14:paraId="4DA86EF4"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(712)</w:t>
            </w:r>
          </w:p>
        </w:tc>
        <w:tc>
          <w:tcPr>
            <w:tcW w:w="898" w:type="dxa"/>
          </w:tcPr>
          <w:p w14:paraId="51B56FC4"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(11,771)</w:t>
            </w:r>
          </w:p>
        </w:tc>
      </w:tr>
      <w:tr w:rsidR="00C91916" w:rsidRPr="00C91916" w14:paraId="0AD13A48" w14:textId="77777777" w:rsidTr="00C91916">
        <w:trPr>
          <w:trHeight w:val="284"/>
        </w:trPr>
        <w:tc>
          <w:tcPr>
            <w:tcW w:w="2599" w:type="dxa"/>
          </w:tcPr>
          <w:p w14:paraId="28597E25"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Exceptional Items</w:t>
            </w:r>
          </w:p>
        </w:tc>
        <w:tc>
          <w:tcPr>
            <w:tcW w:w="1035" w:type="dxa"/>
          </w:tcPr>
          <w:p w14:paraId="6C452F63"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(70)</w:t>
            </w:r>
          </w:p>
        </w:tc>
        <w:tc>
          <w:tcPr>
            <w:tcW w:w="1141" w:type="dxa"/>
          </w:tcPr>
          <w:p w14:paraId="3537EBCA"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(10)</w:t>
            </w:r>
          </w:p>
        </w:tc>
        <w:tc>
          <w:tcPr>
            <w:tcW w:w="898" w:type="dxa"/>
          </w:tcPr>
          <w:p w14:paraId="3D5D83EB"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(80)</w:t>
            </w:r>
          </w:p>
        </w:tc>
        <w:tc>
          <w:tcPr>
            <w:tcW w:w="1035" w:type="dxa"/>
          </w:tcPr>
          <w:p w14:paraId="479A988D"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(1,685)</w:t>
            </w:r>
          </w:p>
        </w:tc>
        <w:tc>
          <w:tcPr>
            <w:tcW w:w="1141" w:type="dxa"/>
          </w:tcPr>
          <w:p w14:paraId="10DB2C52"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(184)</w:t>
            </w:r>
          </w:p>
        </w:tc>
        <w:tc>
          <w:tcPr>
            <w:tcW w:w="898" w:type="dxa"/>
          </w:tcPr>
          <w:p w14:paraId="43400A20"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(1,869)</w:t>
            </w:r>
          </w:p>
        </w:tc>
      </w:tr>
      <w:tr w:rsidR="00C91916" w:rsidRPr="00C91916" w14:paraId="4295EE84" w14:textId="77777777" w:rsidTr="00C91916">
        <w:trPr>
          <w:trHeight w:val="284"/>
        </w:trPr>
        <w:tc>
          <w:tcPr>
            <w:tcW w:w="2599" w:type="dxa"/>
            <w:tcBorders>
              <w:bottom w:val="single" w:sz="4" w:space="0" w:color="auto"/>
            </w:tcBorders>
          </w:tcPr>
          <w:p w14:paraId="17B588AB"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Share-based payments</w:t>
            </w:r>
          </w:p>
        </w:tc>
        <w:tc>
          <w:tcPr>
            <w:tcW w:w="1035" w:type="dxa"/>
            <w:tcBorders>
              <w:bottom w:val="single" w:sz="4" w:space="0" w:color="auto"/>
            </w:tcBorders>
          </w:tcPr>
          <w:p w14:paraId="42B6753D"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(125)</w:t>
            </w:r>
          </w:p>
        </w:tc>
        <w:tc>
          <w:tcPr>
            <w:tcW w:w="1141" w:type="dxa"/>
            <w:tcBorders>
              <w:bottom w:val="single" w:sz="4" w:space="0" w:color="auto"/>
            </w:tcBorders>
          </w:tcPr>
          <w:p w14:paraId="6CBC76E8"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w:t>
            </w:r>
          </w:p>
        </w:tc>
        <w:tc>
          <w:tcPr>
            <w:tcW w:w="898" w:type="dxa"/>
            <w:tcBorders>
              <w:bottom w:val="single" w:sz="4" w:space="0" w:color="auto"/>
            </w:tcBorders>
          </w:tcPr>
          <w:p w14:paraId="152A82A4"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(125)</w:t>
            </w:r>
          </w:p>
        </w:tc>
        <w:tc>
          <w:tcPr>
            <w:tcW w:w="1035" w:type="dxa"/>
            <w:tcBorders>
              <w:bottom w:val="single" w:sz="4" w:space="0" w:color="auto"/>
            </w:tcBorders>
          </w:tcPr>
          <w:p w14:paraId="1AE297D6"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(43)</w:t>
            </w:r>
          </w:p>
        </w:tc>
        <w:tc>
          <w:tcPr>
            <w:tcW w:w="1141" w:type="dxa"/>
            <w:tcBorders>
              <w:bottom w:val="single" w:sz="4" w:space="0" w:color="auto"/>
            </w:tcBorders>
          </w:tcPr>
          <w:p w14:paraId="01E7A072"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w:t>
            </w:r>
          </w:p>
        </w:tc>
        <w:tc>
          <w:tcPr>
            <w:tcW w:w="898" w:type="dxa"/>
            <w:tcBorders>
              <w:bottom w:val="single" w:sz="4" w:space="0" w:color="auto"/>
            </w:tcBorders>
          </w:tcPr>
          <w:p w14:paraId="2E02F5A1"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(43)</w:t>
            </w:r>
          </w:p>
        </w:tc>
      </w:tr>
      <w:tr w:rsidR="00C91916" w:rsidRPr="00C91916" w14:paraId="0866C2B4" w14:textId="77777777" w:rsidTr="00C91916">
        <w:trPr>
          <w:trHeight w:val="284"/>
        </w:trPr>
        <w:tc>
          <w:tcPr>
            <w:tcW w:w="2599" w:type="dxa"/>
            <w:tcBorders>
              <w:top w:val="single" w:sz="4" w:space="0" w:color="auto"/>
            </w:tcBorders>
          </w:tcPr>
          <w:p w14:paraId="0CEC244F" w14:textId="77777777" w:rsidR="00C91916" w:rsidRPr="00C91916" w:rsidRDefault="00C91916" w:rsidP="00C91916">
            <w:pPr>
              <w:rPr>
                <w:rFonts w:ascii="Arial" w:hAnsi="Arial" w:cs="Arial"/>
                <w:b/>
                <w:bCs/>
                <w:color w:val="000000" w:themeColor="text1"/>
                <w:sz w:val="16"/>
                <w:szCs w:val="16"/>
              </w:rPr>
            </w:pPr>
            <w:r w:rsidRPr="00C91916">
              <w:rPr>
                <w:rFonts w:ascii="Arial" w:hAnsi="Arial" w:cs="Arial"/>
                <w:b/>
                <w:bCs/>
                <w:color w:val="000000" w:themeColor="text1"/>
                <w:sz w:val="16"/>
                <w:szCs w:val="16"/>
              </w:rPr>
              <w:t>OPERATING PROFIT</w:t>
            </w:r>
          </w:p>
        </w:tc>
        <w:tc>
          <w:tcPr>
            <w:tcW w:w="1035" w:type="dxa"/>
            <w:tcBorders>
              <w:top w:val="single" w:sz="4" w:space="0" w:color="auto"/>
            </w:tcBorders>
          </w:tcPr>
          <w:p w14:paraId="70282E00"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4,230</w:t>
            </w:r>
          </w:p>
        </w:tc>
        <w:tc>
          <w:tcPr>
            <w:tcW w:w="1141" w:type="dxa"/>
            <w:tcBorders>
              <w:top w:val="single" w:sz="4" w:space="0" w:color="auto"/>
            </w:tcBorders>
          </w:tcPr>
          <w:p w14:paraId="50799C6D"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88</w:t>
            </w:r>
          </w:p>
        </w:tc>
        <w:tc>
          <w:tcPr>
            <w:tcW w:w="898" w:type="dxa"/>
            <w:tcBorders>
              <w:top w:val="single" w:sz="4" w:space="0" w:color="auto"/>
            </w:tcBorders>
          </w:tcPr>
          <w:p w14:paraId="6472E720"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4,318</w:t>
            </w:r>
          </w:p>
        </w:tc>
        <w:tc>
          <w:tcPr>
            <w:tcW w:w="1035" w:type="dxa"/>
            <w:tcBorders>
              <w:top w:val="single" w:sz="4" w:space="0" w:color="auto"/>
            </w:tcBorders>
          </w:tcPr>
          <w:p w14:paraId="27199530"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1,662</w:t>
            </w:r>
          </w:p>
        </w:tc>
        <w:tc>
          <w:tcPr>
            <w:tcW w:w="1141" w:type="dxa"/>
            <w:tcBorders>
              <w:top w:val="single" w:sz="4" w:space="0" w:color="auto"/>
            </w:tcBorders>
          </w:tcPr>
          <w:p w14:paraId="1B7D0EC2"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(353)</w:t>
            </w:r>
          </w:p>
        </w:tc>
        <w:tc>
          <w:tcPr>
            <w:tcW w:w="898" w:type="dxa"/>
            <w:tcBorders>
              <w:top w:val="single" w:sz="4" w:space="0" w:color="auto"/>
            </w:tcBorders>
          </w:tcPr>
          <w:p w14:paraId="27ABE46C"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1,309</w:t>
            </w:r>
          </w:p>
        </w:tc>
      </w:tr>
      <w:tr w:rsidR="00C91916" w:rsidRPr="00C91916" w14:paraId="1D143EFB" w14:textId="77777777" w:rsidTr="00C91916">
        <w:trPr>
          <w:trHeight w:val="284"/>
        </w:trPr>
        <w:tc>
          <w:tcPr>
            <w:tcW w:w="2599" w:type="dxa"/>
          </w:tcPr>
          <w:p w14:paraId="69482118" w14:textId="77777777" w:rsidR="00C91916" w:rsidRPr="00C91916" w:rsidRDefault="00C91916" w:rsidP="00C91916">
            <w:pPr>
              <w:rPr>
                <w:rFonts w:ascii="Arial" w:hAnsi="Arial" w:cs="Arial"/>
                <w:color w:val="000000" w:themeColor="text1"/>
                <w:sz w:val="16"/>
                <w:szCs w:val="16"/>
              </w:rPr>
            </w:pPr>
          </w:p>
        </w:tc>
        <w:tc>
          <w:tcPr>
            <w:tcW w:w="1035" w:type="dxa"/>
          </w:tcPr>
          <w:p w14:paraId="6EA11D98" w14:textId="77777777" w:rsidR="00C91916" w:rsidRPr="00C91916" w:rsidRDefault="00C91916" w:rsidP="00C91916">
            <w:pPr>
              <w:jc w:val="right"/>
              <w:rPr>
                <w:rFonts w:ascii="Arial" w:hAnsi="Arial" w:cs="Arial"/>
                <w:color w:val="000000" w:themeColor="text1"/>
                <w:sz w:val="16"/>
                <w:szCs w:val="16"/>
              </w:rPr>
            </w:pPr>
          </w:p>
        </w:tc>
        <w:tc>
          <w:tcPr>
            <w:tcW w:w="1141" w:type="dxa"/>
          </w:tcPr>
          <w:p w14:paraId="35F94E53" w14:textId="77777777" w:rsidR="00C91916" w:rsidRPr="00C91916" w:rsidRDefault="00C91916" w:rsidP="00C91916">
            <w:pPr>
              <w:jc w:val="right"/>
              <w:rPr>
                <w:rFonts w:ascii="Arial" w:hAnsi="Arial" w:cs="Arial"/>
                <w:color w:val="000000" w:themeColor="text1"/>
                <w:sz w:val="16"/>
                <w:szCs w:val="16"/>
              </w:rPr>
            </w:pPr>
          </w:p>
        </w:tc>
        <w:tc>
          <w:tcPr>
            <w:tcW w:w="898" w:type="dxa"/>
          </w:tcPr>
          <w:p w14:paraId="383E949A" w14:textId="77777777" w:rsidR="00C91916" w:rsidRPr="00C91916" w:rsidRDefault="00C91916" w:rsidP="00C91916">
            <w:pPr>
              <w:jc w:val="right"/>
              <w:rPr>
                <w:rFonts w:ascii="Arial" w:hAnsi="Arial" w:cs="Arial"/>
                <w:b/>
                <w:bCs/>
                <w:color w:val="000000" w:themeColor="text1"/>
                <w:sz w:val="16"/>
                <w:szCs w:val="16"/>
              </w:rPr>
            </w:pPr>
          </w:p>
        </w:tc>
        <w:tc>
          <w:tcPr>
            <w:tcW w:w="1035" w:type="dxa"/>
          </w:tcPr>
          <w:p w14:paraId="53D7B89A" w14:textId="77777777" w:rsidR="00C91916" w:rsidRPr="00C91916" w:rsidRDefault="00C91916" w:rsidP="00C91916">
            <w:pPr>
              <w:jc w:val="right"/>
              <w:rPr>
                <w:rFonts w:ascii="Arial" w:hAnsi="Arial" w:cs="Arial"/>
                <w:sz w:val="16"/>
                <w:szCs w:val="16"/>
              </w:rPr>
            </w:pPr>
          </w:p>
        </w:tc>
        <w:tc>
          <w:tcPr>
            <w:tcW w:w="1141" w:type="dxa"/>
          </w:tcPr>
          <w:p w14:paraId="15D1D1ED" w14:textId="77777777" w:rsidR="00C91916" w:rsidRPr="00C91916" w:rsidRDefault="00C91916" w:rsidP="00C91916">
            <w:pPr>
              <w:jc w:val="right"/>
              <w:rPr>
                <w:rFonts w:ascii="Arial" w:hAnsi="Arial" w:cs="Arial"/>
                <w:sz w:val="16"/>
                <w:szCs w:val="16"/>
              </w:rPr>
            </w:pPr>
          </w:p>
        </w:tc>
        <w:tc>
          <w:tcPr>
            <w:tcW w:w="898" w:type="dxa"/>
          </w:tcPr>
          <w:p w14:paraId="2D6F2CBE" w14:textId="77777777" w:rsidR="00C91916" w:rsidRPr="00C91916" w:rsidRDefault="00C91916" w:rsidP="00C91916">
            <w:pPr>
              <w:jc w:val="right"/>
              <w:rPr>
                <w:rFonts w:ascii="Arial" w:hAnsi="Arial" w:cs="Arial"/>
                <w:b/>
                <w:bCs/>
                <w:sz w:val="16"/>
                <w:szCs w:val="16"/>
              </w:rPr>
            </w:pPr>
          </w:p>
        </w:tc>
      </w:tr>
      <w:tr w:rsidR="00C91916" w:rsidRPr="00C91916" w14:paraId="6A5C23B0" w14:textId="77777777" w:rsidTr="00C91916">
        <w:trPr>
          <w:trHeight w:val="284"/>
        </w:trPr>
        <w:tc>
          <w:tcPr>
            <w:tcW w:w="2599" w:type="dxa"/>
          </w:tcPr>
          <w:p w14:paraId="2CC0E160"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Finance costs</w:t>
            </w:r>
          </w:p>
        </w:tc>
        <w:tc>
          <w:tcPr>
            <w:tcW w:w="1035" w:type="dxa"/>
          </w:tcPr>
          <w:p w14:paraId="662402EE"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(152)</w:t>
            </w:r>
          </w:p>
        </w:tc>
        <w:tc>
          <w:tcPr>
            <w:tcW w:w="1141" w:type="dxa"/>
          </w:tcPr>
          <w:p w14:paraId="0E9141E6"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w:t>
            </w:r>
          </w:p>
        </w:tc>
        <w:tc>
          <w:tcPr>
            <w:tcW w:w="898" w:type="dxa"/>
          </w:tcPr>
          <w:p w14:paraId="7599DB6F"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(152)</w:t>
            </w:r>
          </w:p>
        </w:tc>
        <w:tc>
          <w:tcPr>
            <w:tcW w:w="1035" w:type="dxa"/>
          </w:tcPr>
          <w:p w14:paraId="2A842B16"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(255)</w:t>
            </w:r>
          </w:p>
        </w:tc>
        <w:tc>
          <w:tcPr>
            <w:tcW w:w="1141" w:type="dxa"/>
          </w:tcPr>
          <w:p w14:paraId="2B75A4EA"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w:t>
            </w:r>
          </w:p>
        </w:tc>
        <w:tc>
          <w:tcPr>
            <w:tcW w:w="898" w:type="dxa"/>
          </w:tcPr>
          <w:p w14:paraId="5B446824"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(255)</w:t>
            </w:r>
          </w:p>
        </w:tc>
      </w:tr>
      <w:tr w:rsidR="00C91916" w:rsidRPr="00C91916" w14:paraId="2450CE69" w14:textId="77777777" w:rsidTr="00C91916">
        <w:trPr>
          <w:trHeight w:val="284"/>
        </w:trPr>
        <w:tc>
          <w:tcPr>
            <w:tcW w:w="2599" w:type="dxa"/>
            <w:tcBorders>
              <w:bottom w:val="single" w:sz="4" w:space="0" w:color="auto"/>
            </w:tcBorders>
          </w:tcPr>
          <w:p w14:paraId="6BD20561"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Finance income</w:t>
            </w:r>
          </w:p>
        </w:tc>
        <w:tc>
          <w:tcPr>
            <w:tcW w:w="1035" w:type="dxa"/>
            <w:tcBorders>
              <w:bottom w:val="single" w:sz="4" w:space="0" w:color="auto"/>
            </w:tcBorders>
          </w:tcPr>
          <w:p w14:paraId="798A4420"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1</w:t>
            </w:r>
          </w:p>
        </w:tc>
        <w:tc>
          <w:tcPr>
            <w:tcW w:w="1141" w:type="dxa"/>
            <w:tcBorders>
              <w:bottom w:val="single" w:sz="4" w:space="0" w:color="auto"/>
            </w:tcBorders>
          </w:tcPr>
          <w:p w14:paraId="48646F31"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w:t>
            </w:r>
          </w:p>
        </w:tc>
        <w:tc>
          <w:tcPr>
            <w:tcW w:w="898" w:type="dxa"/>
            <w:tcBorders>
              <w:bottom w:val="single" w:sz="4" w:space="0" w:color="auto"/>
            </w:tcBorders>
          </w:tcPr>
          <w:p w14:paraId="500A9679"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1</w:t>
            </w:r>
          </w:p>
        </w:tc>
        <w:tc>
          <w:tcPr>
            <w:tcW w:w="1035" w:type="dxa"/>
            <w:tcBorders>
              <w:bottom w:val="single" w:sz="4" w:space="0" w:color="auto"/>
            </w:tcBorders>
          </w:tcPr>
          <w:p w14:paraId="413B7A78"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w:t>
            </w:r>
          </w:p>
        </w:tc>
        <w:tc>
          <w:tcPr>
            <w:tcW w:w="1141" w:type="dxa"/>
            <w:tcBorders>
              <w:bottom w:val="single" w:sz="4" w:space="0" w:color="auto"/>
            </w:tcBorders>
          </w:tcPr>
          <w:p w14:paraId="21D6379F"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w:t>
            </w:r>
          </w:p>
        </w:tc>
        <w:tc>
          <w:tcPr>
            <w:tcW w:w="898" w:type="dxa"/>
            <w:tcBorders>
              <w:bottom w:val="single" w:sz="4" w:space="0" w:color="auto"/>
            </w:tcBorders>
          </w:tcPr>
          <w:p w14:paraId="32208310"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1</w:t>
            </w:r>
          </w:p>
        </w:tc>
      </w:tr>
      <w:tr w:rsidR="00C91916" w:rsidRPr="00C91916" w14:paraId="66056FEC" w14:textId="77777777" w:rsidTr="00C91916">
        <w:trPr>
          <w:trHeight w:val="284"/>
        </w:trPr>
        <w:tc>
          <w:tcPr>
            <w:tcW w:w="2599" w:type="dxa"/>
            <w:tcBorders>
              <w:top w:val="single" w:sz="4" w:space="0" w:color="auto"/>
            </w:tcBorders>
          </w:tcPr>
          <w:p w14:paraId="4B0B6491" w14:textId="77777777" w:rsidR="00C91916" w:rsidRPr="00C91916" w:rsidRDefault="00C91916" w:rsidP="00C91916">
            <w:pPr>
              <w:rPr>
                <w:rFonts w:ascii="Arial" w:hAnsi="Arial" w:cs="Arial"/>
                <w:b/>
                <w:bCs/>
                <w:color w:val="000000" w:themeColor="text1"/>
                <w:sz w:val="16"/>
                <w:szCs w:val="16"/>
              </w:rPr>
            </w:pPr>
            <w:r w:rsidRPr="00C91916">
              <w:rPr>
                <w:rFonts w:ascii="Arial" w:hAnsi="Arial" w:cs="Arial"/>
                <w:b/>
                <w:bCs/>
                <w:color w:val="000000" w:themeColor="text1"/>
                <w:sz w:val="16"/>
                <w:szCs w:val="16"/>
              </w:rPr>
              <w:t>PROFIT BEFORE INCOME TAX</w:t>
            </w:r>
          </w:p>
        </w:tc>
        <w:tc>
          <w:tcPr>
            <w:tcW w:w="1035" w:type="dxa"/>
            <w:tcBorders>
              <w:top w:val="single" w:sz="4" w:space="0" w:color="auto"/>
            </w:tcBorders>
          </w:tcPr>
          <w:p w14:paraId="084E6E90"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4,079</w:t>
            </w:r>
          </w:p>
        </w:tc>
        <w:tc>
          <w:tcPr>
            <w:tcW w:w="1141" w:type="dxa"/>
            <w:tcBorders>
              <w:top w:val="single" w:sz="4" w:space="0" w:color="auto"/>
            </w:tcBorders>
          </w:tcPr>
          <w:p w14:paraId="43F43373"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88</w:t>
            </w:r>
          </w:p>
        </w:tc>
        <w:tc>
          <w:tcPr>
            <w:tcW w:w="898" w:type="dxa"/>
            <w:tcBorders>
              <w:top w:val="single" w:sz="4" w:space="0" w:color="auto"/>
            </w:tcBorders>
          </w:tcPr>
          <w:p w14:paraId="0A6691E8"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4,167</w:t>
            </w:r>
          </w:p>
        </w:tc>
        <w:tc>
          <w:tcPr>
            <w:tcW w:w="1035" w:type="dxa"/>
            <w:tcBorders>
              <w:top w:val="single" w:sz="4" w:space="0" w:color="auto"/>
            </w:tcBorders>
          </w:tcPr>
          <w:p w14:paraId="1BF81D91"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1,408</w:t>
            </w:r>
          </w:p>
        </w:tc>
        <w:tc>
          <w:tcPr>
            <w:tcW w:w="1141" w:type="dxa"/>
            <w:tcBorders>
              <w:top w:val="single" w:sz="4" w:space="0" w:color="auto"/>
            </w:tcBorders>
          </w:tcPr>
          <w:p w14:paraId="18930491"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(353)</w:t>
            </w:r>
          </w:p>
        </w:tc>
        <w:tc>
          <w:tcPr>
            <w:tcW w:w="898" w:type="dxa"/>
            <w:tcBorders>
              <w:top w:val="single" w:sz="4" w:space="0" w:color="auto"/>
            </w:tcBorders>
          </w:tcPr>
          <w:p w14:paraId="5B22EDB0"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1,055</w:t>
            </w:r>
          </w:p>
        </w:tc>
      </w:tr>
      <w:tr w:rsidR="00C91916" w:rsidRPr="00C91916" w14:paraId="0DD21D17" w14:textId="77777777" w:rsidTr="00C91916">
        <w:trPr>
          <w:trHeight w:val="284"/>
        </w:trPr>
        <w:tc>
          <w:tcPr>
            <w:tcW w:w="2599" w:type="dxa"/>
            <w:tcBorders>
              <w:bottom w:val="single" w:sz="4" w:space="0" w:color="auto"/>
            </w:tcBorders>
          </w:tcPr>
          <w:p w14:paraId="79A39BA7" w14:textId="77777777" w:rsidR="00C91916" w:rsidRPr="00C91916" w:rsidRDefault="00C91916" w:rsidP="00C91916">
            <w:pPr>
              <w:rPr>
                <w:rFonts w:ascii="Arial" w:hAnsi="Arial" w:cs="Arial"/>
                <w:color w:val="000000" w:themeColor="text1"/>
                <w:sz w:val="16"/>
                <w:szCs w:val="16"/>
              </w:rPr>
            </w:pPr>
          </w:p>
        </w:tc>
        <w:tc>
          <w:tcPr>
            <w:tcW w:w="1035" w:type="dxa"/>
            <w:tcBorders>
              <w:bottom w:val="single" w:sz="4" w:space="0" w:color="auto"/>
            </w:tcBorders>
          </w:tcPr>
          <w:p w14:paraId="0DEE3084" w14:textId="77777777" w:rsidR="00C91916" w:rsidRPr="00C91916" w:rsidRDefault="00C91916" w:rsidP="00C91916">
            <w:pPr>
              <w:jc w:val="right"/>
              <w:rPr>
                <w:rFonts w:ascii="Arial" w:hAnsi="Arial" w:cs="Arial"/>
                <w:color w:val="000000" w:themeColor="text1"/>
                <w:sz w:val="16"/>
                <w:szCs w:val="16"/>
              </w:rPr>
            </w:pPr>
          </w:p>
        </w:tc>
        <w:tc>
          <w:tcPr>
            <w:tcW w:w="1141" w:type="dxa"/>
            <w:tcBorders>
              <w:bottom w:val="single" w:sz="4" w:space="0" w:color="auto"/>
            </w:tcBorders>
          </w:tcPr>
          <w:p w14:paraId="05C7F672" w14:textId="77777777" w:rsidR="00C91916" w:rsidRPr="00C91916" w:rsidRDefault="00C91916" w:rsidP="00C91916">
            <w:pPr>
              <w:jc w:val="right"/>
              <w:rPr>
                <w:rFonts w:ascii="Arial" w:hAnsi="Arial" w:cs="Arial"/>
                <w:color w:val="000000" w:themeColor="text1"/>
                <w:sz w:val="16"/>
                <w:szCs w:val="16"/>
              </w:rPr>
            </w:pPr>
          </w:p>
        </w:tc>
        <w:tc>
          <w:tcPr>
            <w:tcW w:w="898" w:type="dxa"/>
            <w:tcBorders>
              <w:bottom w:val="single" w:sz="4" w:space="0" w:color="auto"/>
            </w:tcBorders>
          </w:tcPr>
          <w:p w14:paraId="6346399F" w14:textId="77777777" w:rsidR="00C91916" w:rsidRPr="00C91916" w:rsidRDefault="00C91916" w:rsidP="00C91916">
            <w:pPr>
              <w:jc w:val="right"/>
              <w:rPr>
                <w:rFonts w:ascii="Arial" w:hAnsi="Arial" w:cs="Arial"/>
                <w:b/>
                <w:bCs/>
                <w:color w:val="000000" w:themeColor="text1"/>
                <w:sz w:val="16"/>
                <w:szCs w:val="16"/>
              </w:rPr>
            </w:pPr>
          </w:p>
        </w:tc>
        <w:tc>
          <w:tcPr>
            <w:tcW w:w="1035" w:type="dxa"/>
            <w:tcBorders>
              <w:bottom w:val="single" w:sz="4" w:space="0" w:color="auto"/>
            </w:tcBorders>
          </w:tcPr>
          <w:p w14:paraId="181D6A2C" w14:textId="77777777" w:rsidR="00C91916" w:rsidRPr="00C91916" w:rsidRDefault="00C91916" w:rsidP="00C91916">
            <w:pPr>
              <w:jc w:val="right"/>
              <w:rPr>
                <w:rFonts w:ascii="Arial" w:hAnsi="Arial" w:cs="Arial"/>
                <w:sz w:val="16"/>
                <w:szCs w:val="16"/>
              </w:rPr>
            </w:pPr>
          </w:p>
        </w:tc>
        <w:tc>
          <w:tcPr>
            <w:tcW w:w="1141" w:type="dxa"/>
            <w:tcBorders>
              <w:bottom w:val="single" w:sz="4" w:space="0" w:color="auto"/>
            </w:tcBorders>
          </w:tcPr>
          <w:p w14:paraId="3B7ED28E" w14:textId="77777777" w:rsidR="00C91916" w:rsidRPr="00C91916" w:rsidRDefault="00C91916" w:rsidP="00C91916">
            <w:pPr>
              <w:jc w:val="right"/>
              <w:rPr>
                <w:rFonts w:ascii="Arial" w:hAnsi="Arial" w:cs="Arial"/>
                <w:sz w:val="16"/>
                <w:szCs w:val="16"/>
              </w:rPr>
            </w:pPr>
          </w:p>
        </w:tc>
        <w:tc>
          <w:tcPr>
            <w:tcW w:w="898" w:type="dxa"/>
            <w:tcBorders>
              <w:bottom w:val="single" w:sz="4" w:space="0" w:color="auto"/>
            </w:tcBorders>
          </w:tcPr>
          <w:p w14:paraId="0B6070C0" w14:textId="77777777" w:rsidR="00C91916" w:rsidRPr="00C91916" w:rsidRDefault="00C91916" w:rsidP="00C91916">
            <w:pPr>
              <w:jc w:val="right"/>
              <w:rPr>
                <w:rFonts w:ascii="Arial" w:hAnsi="Arial" w:cs="Arial"/>
                <w:b/>
                <w:bCs/>
                <w:sz w:val="16"/>
                <w:szCs w:val="16"/>
              </w:rPr>
            </w:pPr>
          </w:p>
        </w:tc>
      </w:tr>
      <w:tr w:rsidR="00C91916" w:rsidRPr="00C91916" w14:paraId="25C91117" w14:textId="77777777" w:rsidTr="00C91916">
        <w:trPr>
          <w:trHeight w:val="284"/>
        </w:trPr>
        <w:tc>
          <w:tcPr>
            <w:tcW w:w="2599" w:type="dxa"/>
            <w:tcBorders>
              <w:top w:val="single" w:sz="4" w:space="0" w:color="auto"/>
              <w:left w:val="single" w:sz="4" w:space="0" w:color="auto"/>
            </w:tcBorders>
          </w:tcPr>
          <w:p w14:paraId="50B2BCB1" w14:textId="77777777" w:rsidR="00C91916" w:rsidRPr="00C91916" w:rsidRDefault="00C91916" w:rsidP="00C91916">
            <w:pPr>
              <w:rPr>
                <w:rFonts w:ascii="Arial" w:hAnsi="Arial" w:cs="Arial"/>
                <w:b/>
                <w:bCs/>
                <w:color w:val="000000" w:themeColor="text1"/>
                <w:sz w:val="16"/>
                <w:szCs w:val="16"/>
              </w:rPr>
            </w:pPr>
            <w:r w:rsidRPr="00C91916">
              <w:rPr>
                <w:rFonts w:ascii="Arial" w:hAnsi="Arial" w:cs="Arial"/>
                <w:b/>
                <w:bCs/>
                <w:color w:val="000000" w:themeColor="text1"/>
                <w:sz w:val="16"/>
                <w:szCs w:val="16"/>
              </w:rPr>
              <w:t>Adjusted earnings before tax, exceptional items and share-based payments</w:t>
            </w:r>
          </w:p>
        </w:tc>
        <w:tc>
          <w:tcPr>
            <w:tcW w:w="1035" w:type="dxa"/>
            <w:tcBorders>
              <w:top w:val="single" w:sz="4" w:space="0" w:color="auto"/>
            </w:tcBorders>
          </w:tcPr>
          <w:p w14:paraId="680098E2"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4,274</w:t>
            </w:r>
          </w:p>
        </w:tc>
        <w:tc>
          <w:tcPr>
            <w:tcW w:w="1141" w:type="dxa"/>
            <w:tcBorders>
              <w:top w:val="single" w:sz="4" w:space="0" w:color="auto"/>
            </w:tcBorders>
          </w:tcPr>
          <w:p w14:paraId="79F6036B"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98</w:t>
            </w:r>
          </w:p>
        </w:tc>
        <w:tc>
          <w:tcPr>
            <w:tcW w:w="898" w:type="dxa"/>
            <w:tcBorders>
              <w:top w:val="single" w:sz="4" w:space="0" w:color="auto"/>
            </w:tcBorders>
          </w:tcPr>
          <w:p w14:paraId="6DEE2098"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4,372</w:t>
            </w:r>
          </w:p>
        </w:tc>
        <w:tc>
          <w:tcPr>
            <w:tcW w:w="1035" w:type="dxa"/>
            <w:tcBorders>
              <w:top w:val="single" w:sz="4" w:space="0" w:color="auto"/>
            </w:tcBorders>
          </w:tcPr>
          <w:p w14:paraId="636569D1"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3,136</w:t>
            </w:r>
          </w:p>
        </w:tc>
        <w:tc>
          <w:tcPr>
            <w:tcW w:w="1141" w:type="dxa"/>
            <w:tcBorders>
              <w:top w:val="single" w:sz="4" w:space="0" w:color="auto"/>
            </w:tcBorders>
          </w:tcPr>
          <w:p w14:paraId="449967D8"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(169)</w:t>
            </w:r>
          </w:p>
        </w:tc>
        <w:tc>
          <w:tcPr>
            <w:tcW w:w="898" w:type="dxa"/>
            <w:tcBorders>
              <w:top w:val="single" w:sz="4" w:space="0" w:color="auto"/>
              <w:right w:val="single" w:sz="4" w:space="0" w:color="auto"/>
            </w:tcBorders>
          </w:tcPr>
          <w:p w14:paraId="4C31990B"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2,967</w:t>
            </w:r>
          </w:p>
        </w:tc>
      </w:tr>
      <w:tr w:rsidR="00C91916" w:rsidRPr="00C91916" w14:paraId="3070A166" w14:textId="77777777" w:rsidTr="00C91916">
        <w:trPr>
          <w:trHeight w:val="284"/>
        </w:trPr>
        <w:tc>
          <w:tcPr>
            <w:tcW w:w="2599" w:type="dxa"/>
            <w:tcBorders>
              <w:left w:val="single" w:sz="4" w:space="0" w:color="auto"/>
            </w:tcBorders>
          </w:tcPr>
          <w:p w14:paraId="2DA16DE2"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Exceptional items</w:t>
            </w:r>
          </w:p>
        </w:tc>
        <w:tc>
          <w:tcPr>
            <w:tcW w:w="1035" w:type="dxa"/>
          </w:tcPr>
          <w:p w14:paraId="3ADC29A4"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(70)</w:t>
            </w:r>
          </w:p>
        </w:tc>
        <w:tc>
          <w:tcPr>
            <w:tcW w:w="1141" w:type="dxa"/>
          </w:tcPr>
          <w:p w14:paraId="2B365AF6"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(10)</w:t>
            </w:r>
          </w:p>
        </w:tc>
        <w:tc>
          <w:tcPr>
            <w:tcW w:w="898" w:type="dxa"/>
          </w:tcPr>
          <w:p w14:paraId="5F4C55CC"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(80)</w:t>
            </w:r>
          </w:p>
        </w:tc>
        <w:tc>
          <w:tcPr>
            <w:tcW w:w="1035" w:type="dxa"/>
          </w:tcPr>
          <w:p w14:paraId="0E84696D"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(1,685)</w:t>
            </w:r>
          </w:p>
        </w:tc>
        <w:tc>
          <w:tcPr>
            <w:tcW w:w="1141" w:type="dxa"/>
          </w:tcPr>
          <w:p w14:paraId="08CD26CF"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(184)</w:t>
            </w:r>
          </w:p>
        </w:tc>
        <w:tc>
          <w:tcPr>
            <w:tcW w:w="898" w:type="dxa"/>
            <w:tcBorders>
              <w:right w:val="single" w:sz="4" w:space="0" w:color="auto"/>
            </w:tcBorders>
          </w:tcPr>
          <w:p w14:paraId="41568D1E"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(1,869)</w:t>
            </w:r>
          </w:p>
        </w:tc>
      </w:tr>
      <w:tr w:rsidR="00C91916" w:rsidRPr="00C91916" w14:paraId="567E6889" w14:textId="77777777" w:rsidTr="00C91916">
        <w:trPr>
          <w:trHeight w:val="284"/>
        </w:trPr>
        <w:tc>
          <w:tcPr>
            <w:tcW w:w="2599" w:type="dxa"/>
            <w:tcBorders>
              <w:left w:val="single" w:sz="4" w:space="0" w:color="auto"/>
              <w:bottom w:val="single" w:sz="4" w:space="0" w:color="auto"/>
            </w:tcBorders>
          </w:tcPr>
          <w:p w14:paraId="6BEC964D"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Share-based payments</w:t>
            </w:r>
          </w:p>
        </w:tc>
        <w:tc>
          <w:tcPr>
            <w:tcW w:w="1035" w:type="dxa"/>
            <w:tcBorders>
              <w:bottom w:val="single" w:sz="4" w:space="0" w:color="auto"/>
            </w:tcBorders>
          </w:tcPr>
          <w:p w14:paraId="665036D1"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(125)</w:t>
            </w:r>
          </w:p>
        </w:tc>
        <w:tc>
          <w:tcPr>
            <w:tcW w:w="1141" w:type="dxa"/>
            <w:tcBorders>
              <w:bottom w:val="single" w:sz="4" w:space="0" w:color="auto"/>
            </w:tcBorders>
          </w:tcPr>
          <w:p w14:paraId="2E53E8F0"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w:t>
            </w:r>
          </w:p>
        </w:tc>
        <w:tc>
          <w:tcPr>
            <w:tcW w:w="898" w:type="dxa"/>
            <w:tcBorders>
              <w:bottom w:val="single" w:sz="4" w:space="0" w:color="auto"/>
            </w:tcBorders>
          </w:tcPr>
          <w:p w14:paraId="641C0013"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(125)</w:t>
            </w:r>
          </w:p>
        </w:tc>
        <w:tc>
          <w:tcPr>
            <w:tcW w:w="1035" w:type="dxa"/>
            <w:tcBorders>
              <w:bottom w:val="single" w:sz="4" w:space="0" w:color="auto"/>
            </w:tcBorders>
          </w:tcPr>
          <w:p w14:paraId="213BBE48"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(43)</w:t>
            </w:r>
          </w:p>
        </w:tc>
        <w:tc>
          <w:tcPr>
            <w:tcW w:w="1141" w:type="dxa"/>
            <w:tcBorders>
              <w:bottom w:val="single" w:sz="4" w:space="0" w:color="auto"/>
            </w:tcBorders>
          </w:tcPr>
          <w:p w14:paraId="0BFFA0C8"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w:t>
            </w:r>
          </w:p>
        </w:tc>
        <w:tc>
          <w:tcPr>
            <w:tcW w:w="898" w:type="dxa"/>
            <w:tcBorders>
              <w:bottom w:val="single" w:sz="4" w:space="0" w:color="auto"/>
              <w:right w:val="single" w:sz="4" w:space="0" w:color="auto"/>
            </w:tcBorders>
          </w:tcPr>
          <w:p w14:paraId="68C7DD37"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(43)</w:t>
            </w:r>
          </w:p>
        </w:tc>
      </w:tr>
      <w:tr w:rsidR="00C91916" w:rsidRPr="00C91916" w14:paraId="6E4C8C77" w14:textId="77777777" w:rsidTr="00C91916">
        <w:trPr>
          <w:trHeight w:val="284"/>
        </w:trPr>
        <w:tc>
          <w:tcPr>
            <w:tcW w:w="2599" w:type="dxa"/>
            <w:tcBorders>
              <w:top w:val="single" w:sz="4" w:space="0" w:color="auto"/>
              <w:left w:val="single" w:sz="4" w:space="0" w:color="auto"/>
              <w:bottom w:val="single" w:sz="4" w:space="0" w:color="auto"/>
            </w:tcBorders>
          </w:tcPr>
          <w:p w14:paraId="4A7D3CA4" w14:textId="77777777" w:rsidR="00C91916" w:rsidRPr="00C91916" w:rsidRDefault="00C91916" w:rsidP="00C91916">
            <w:pPr>
              <w:rPr>
                <w:rFonts w:ascii="Arial" w:hAnsi="Arial" w:cs="Arial"/>
                <w:b/>
                <w:bCs/>
                <w:color w:val="000000" w:themeColor="text1"/>
                <w:sz w:val="16"/>
                <w:szCs w:val="16"/>
              </w:rPr>
            </w:pPr>
            <w:r w:rsidRPr="00C91916">
              <w:rPr>
                <w:rFonts w:ascii="Arial" w:hAnsi="Arial" w:cs="Arial"/>
                <w:b/>
                <w:bCs/>
                <w:color w:val="000000" w:themeColor="text1"/>
                <w:sz w:val="16"/>
                <w:szCs w:val="16"/>
              </w:rPr>
              <w:t>PROFIT BEFORE INCOME TAX</w:t>
            </w:r>
          </w:p>
        </w:tc>
        <w:tc>
          <w:tcPr>
            <w:tcW w:w="1035" w:type="dxa"/>
            <w:tcBorders>
              <w:top w:val="single" w:sz="4" w:space="0" w:color="auto"/>
              <w:bottom w:val="single" w:sz="4" w:space="0" w:color="auto"/>
            </w:tcBorders>
          </w:tcPr>
          <w:p w14:paraId="3B137496"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4,079</w:t>
            </w:r>
          </w:p>
        </w:tc>
        <w:tc>
          <w:tcPr>
            <w:tcW w:w="1141" w:type="dxa"/>
            <w:tcBorders>
              <w:top w:val="single" w:sz="4" w:space="0" w:color="auto"/>
              <w:bottom w:val="single" w:sz="4" w:space="0" w:color="auto"/>
            </w:tcBorders>
          </w:tcPr>
          <w:p w14:paraId="746C7F26"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88</w:t>
            </w:r>
          </w:p>
        </w:tc>
        <w:tc>
          <w:tcPr>
            <w:tcW w:w="898" w:type="dxa"/>
            <w:tcBorders>
              <w:top w:val="single" w:sz="4" w:space="0" w:color="auto"/>
              <w:bottom w:val="single" w:sz="4" w:space="0" w:color="auto"/>
            </w:tcBorders>
          </w:tcPr>
          <w:p w14:paraId="0156BAC9"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4,167</w:t>
            </w:r>
          </w:p>
        </w:tc>
        <w:tc>
          <w:tcPr>
            <w:tcW w:w="1035" w:type="dxa"/>
            <w:tcBorders>
              <w:top w:val="single" w:sz="4" w:space="0" w:color="auto"/>
              <w:bottom w:val="single" w:sz="4" w:space="0" w:color="auto"/>
            </w:tcBorders>
          </w:tcPr>
          <w:p w14:paraId="77486CBC"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1,408</w:t>
            </w:r>
          </w:p>
        </w:tc>
        <w:tc>
          <w:tcPr>
            <w:tcW w:w="1141" w:type="dxa"/>
            <w:tcBorders>
              <w:top w:val="single" w:sz="4" w:space="0" w:color="auto"/>
              <w:bottom w:val="single" w:sz="4" w:space="0" w:color="auto"/>
            </w:tcBorders>
          </w:tcPr>
          <w:p w14:paraId="30805F96"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(353)</w:t>
            </w:r>
          </w:p>
        </w:tc>
        <w:tc>
          <w:tcPr>
            <w:tcW w:w="898" w:type="dxa"/>
            <w:tcBorders>
              <w:top w:val="single" w:sz="4" w:space="0" w:color="auto"/>
              <w:bottom w:val="single" w:sz="4" w:space="0" w:color="auto"/>
              <w:right w:val="single" w:sz="4" w:space="0" w:color="auto"/>
            </w:tcBorders>
          </w:tcPr>
          <w:p w14:paraId="47DFC31A"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1,055</w:t>
            </w:r>
          </w:p>
        </w:tc>
      </w:tr>
      <w:tr w:rsidR="00C91916" w:rsidRPr="00C91916" w14:paraId="67DBD034" w14:textId="77777777" w:rsidTr="00C91916">
        <w:trPr>
          <w:trHeight w:val="284"/>
        </w:trPr>
        <w:tc>
          <w:tcPr>
            <w:tcW w:w="2599" w:type="dxa"/>
            <w:tcBorders>
              <w:top w:val="single" w:sz="4" w:space="0" w:color="auto"/>
            </w:tcBorders>
          </w:tcPr>
          <w:p w14:paraId="09B5B123" w14:textId="77777777" w:rsidR="00C91916" w:rsidRPr="00C91916" w:rsidRDefault="00C91916" w:rsidP="00C91916">
            <w:pPr>
              <w:rPr>
                <w:rFonts w:ascii="Arial" w:hAnsi="Arial" w:cs="Arial"/>
                <w:color w:val="000000" w:themeColor="text1"/>
                <w:sz w:val="16"/>
                <w:szCs w:val="16"/>
              </w:rPr>
            </w:pPr>
          </w:p>
        </w:tc>
        <w:tc>
          <w:tcPr>
            <w:tcW w:w="1035" w:type="dxa"/>
            <w:tcBorders>
              <w:top w:val="single" w:sz="4" w:space="0" w:color="auto"/>
            </w:tcBorders>
          </w:tcPr>
          <w:p w14:paraId="6D360855" w14:textId="77777777" w:rsidR="00C91916" w:rsidRPr="00C91916" w:rsidRDefault="00C91916" w:rsidP="00C91916">
            <w:pPr>
              <w:jc w:val="right"/>
              <w:rPr>
                <w:rFonts w:ascii="Arial" w:hAnsi="Arial" w:cs="Arial"/>
                <w:color w:val="000000" w:themeColor="text1"/>
                <w:sz w:val="16"/>
                <w:szCs w:val="16"/>
              </w:rPr>
            </w:pPr>
          </w:p>
        </w:tc>
        <w:tc>
          <w:tcPr>
            <w:tcW w:w="1141" w:type="dxa"/>
            <w:tcBorders>
              <w:top w:val="single" w:sz="4" w:space="0" w:color="auto"/>
            </w:tcBorders>
          </w:tcPr>
          <w:p w14:paraId="4CEA93D9" w14:textId="77777777" w:rsidR="00C91916" w:rsidRPr="00C91916" w:rsidRDefault="00C91916" w:rsidP="00C91916">
            <w:pPr>
              <w:jc w:val="right"/>
              <w:rPr>
                <w:rFonts w:ascii="Arial" w:hAnsi="Arial" w:cs="Arial"/>
                <w:color w:val="000000" w:themeColor="text1"/>
                <w:sz w:val="16"/>
                <w:szCs w:val="16"/>
              </w:rPr>
            </w:pPr>
          </w:p>
        </w:tc>
        <w:tc>
          <w:tcPr>
            <w:tcW w:w="898" w:type="dxa"/>
            <w:tcBorders>
              <w:top w:val="single" w:sz="4" w:space="0" w:color="auto"/>
            </w:tcBorders>
          </w:tcPr>
          <w:p w14:paraId="5E36C61E" w14:textId="77777777" w:rsidR="00C91916" w:rsidRPr="00C91916" w:rsidRDefault="00C91916" w:rsidP="00C91916">
            <w:pPr>
              <w:jc w:val="right"/>
              <w:rPr>
                <w:rFonts w:ascii="Arial" w:hAnsi="Arial" w:cs="Arial"/>
                <w:b/>
                <w:bCs/>
                <w:color w:val="000000" w:themeColor="text1"/>
                <w:sz w:val="16"/>
                <w:szCs w:val="16"/>
              </w:rPr>
            </w:pPr>
          </w:p>
        </w:tc>
        <w:tc>
          <w:tcPr>
            <w:tcW w:w="1035" w:type="dxa"/>
            <w:tcBorders>
              <w:top w:val="single" w:sz="4" w:space="0" w:color="auto"/>
            </w:tcBorders>
          </w:tcPr>
          <w:p w14:paraId="765B6861" w14:textId="77777777" w:rsidR="00C91916" w:rsidRPr="00C91916" w:rsidRDefault="00C91916" w:rsidP="00C91916">
            <w:pPr>
              <w:jc w:val="right"/>
              <w:rPr>
                <w:rFonts w:ascii="Arial" w:hAnsi="Arial" w:cs="Arial"/>
                <w:sz w:val="16"/>
                <w:szCs w:val="16"/>
              </w:rPr>
            </w:pPr>
          </w:p>
        </w:tc>
        <w:tc>
          <w:tcPr>
            <w:tcW w:w="1141" w:type="dxa"/>
            <w:tcBorders>
              <w:top w:val="single" w:sz="4" w:space="0" w:color="auto"/>
            </w:tcBorders>
          </w:tcPr>
          <w:p w14:paraId="2BC03844" w14:textId="77777777" w:rsidR="00C91916" w:rsidRPr="00C91916" w:rsidRDefault="00C91916" w:rsidP="00C91916">
            <w:pPr>
              <w:jc w:val="right"/>
              <w:rPr>
                <w:rFonts w:ascii="Arial" w:hAnsi="Arial" w:cs="Arial"/>
                <w:sz w:val="16"/>
                <w:szCs w:val="16"/>
              </w:rPr>
            </w:pPr>
          </w:p>
        </w:tc>
        <w:tc>
          <w:tcPr>
            <w:tcW w:w="898" w:type="dxa"/>
            <w:tcBorders>
              <w:top w:val="single" w:sz="4" w:space="0" w:color="auto"/>
            </w:tcBorders>
          </w:tcPr>
          <w:p w14:paraId="083B5941" w14:textId="77777777" w:rsidR="00C91916" w:rsidRPr="00C91916" w:rsidRDefault="00C91916" w:rsidP="00C91916">
            <w:pPr>
              <w:jc w:val="right"/>
              <w:rPr>
                <w:rFonts w:ascii="Arial" w:hAnsi="Arial" w:cs="Arial"/>
                <w:b/>
                <w:bCs/>
                <w:sz w:val="16"/>
                <w:szCs w:val="16"/>
              </w:rPr>
            </w:pPr>
          </w:p>
        </w:tc>
      </w:tr>
      <w:tr w:rsidR="00C91916" w:rsidRPr="00C91916" w14:paraId="7E318A16" w14:textId="77777777" w:rsidTr="00C91916">
        <w:trPr>
          <w:trHeight w:val="284"/>
        </w:trPr>
        <w:tc>
          <w:tcPr>
            <w:tcW w:w="2599" w:type="dxa"/>
            <w:tcBorders>
              <w:bottom w:val="single" w:sz="4" w:space="0" w:color="auto"/>
            </w:tcBorders>
          </w:tcPr>
          <w:p w14:paraId="76CF4091"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Income tax</w:t>
            </w:r>
          </w:p>
        </w:tc>
        <w:tc>
          <w:tcPr>
            <w:tcW w:w="1035" w:type="dxa"/>
            <w:tcBorders>
              <w:bottom w:val="single" w:sz="4" w:space="0" w:color="auto"/>
            </w:tcBorders>
            <w:shd w:val="clear" w:color="auto" w:fill="auto"/>
          </w:tcPr>
          <w:p w14:paraId="266D5D6D"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(720)</w:t>
            </w:r>
          </w:p>
        </w:tc>
        <w:tc>
          <w:tcPr>
            <w:tcW w:w="1141" w:type="dxa"/>
            <w:tcBorders>
              <w:bottom w:val="single" w:sz="4" w:space="0" w:color="auto"/>
            </w:tcBorders>
            <w:shd w:val="clear" w:color="auto" w:fill="auto"/>
          </w:tcPr>
          <w:p w14:paraId="4CA5DB4A"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w:t>
            </w:r>
          </w:p>
        </w:tc>
        <w:tc>
          <w:tcPr>
            <w:tcW w:w="898" w:type="dxa"/>
            <w:tcBorders>
              <w:bottom w:val="single" w:sz="4" w:space="0" w:color="auto"/>
            </w:tcBorders>
            <w:shd w:val="clear" w:color="auto" w:fill="auto"/>
          </w:tcPr>
          <w:p w14:paraId="11DA84AC"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(720)</w:t>
            </w:r>
          </w:p>
        </w:tc>
        <w:tc>
          <w:tcPr>
            <w:tcW w:w="1035" w:type="dxa"/>
            <w:tcBorders>
              <w:bottom w:val="single" w:sz="4" w:space="0" w:color="auto"/>
            </w:tcBorders>
            <w:shd w:val="clear" w:color="auto" w:fill="auto"/>
          </w:tcPr>
          <w:p w14:paraId="07206559"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(134)</w:t>
            </w:r>
          </w:p>
        </w:tc>
        <w:tc>
          <w:tcPr>
            <w:tcW w:w="1141" w:type="dxa"/>
            <w:tcBorders>
              <w:bottom w:val="single" w:sz="4" w:space="0" w:color="auto"/>
            </w:tcBorders>
          </w:tcPr>
          <w:p w14:paraId="00DCB6EA"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w:t>
            </w:r>
          </w:p>
        </w:tc>
        <w:tc>
          <w:tcPr>
            <w:tcW w:w="898" w:type="dxa"/>
            <w:tcBorders>
              <w:bottom w:val="single" w:sz="4" w:space="0" w:color="auto"/>
            </w:tcBorders>
          </w:tcPr>
          <w:p w14:paraId="2E61EF99"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(134)</w:t>
            </w:r>
          </w:p>
        </w:tc>
      </w:tr>
      <w:tr w:rsidR="00C91916" w:rsidRPr="00C91916" w14:paraId="4886E203" w14:textId="77777777" w:rsidTr="00C91916">
        <w:trPr>
          <w:trHeight w:val="284"/>
        </w:trPr>
        <w:tc>
          <w:tcPr>
            <w:tcW w:w="2599" w:type="dxa"/>
            <w:tcBorders>
              <w:top w:val="single" w:sz="4" w:space="0" w:color="auto"/>
              <w:bottom w:val="single" w:sz="4" w:space="0" w:color="auto"/>
            </w:tcBorders>
          </w:tcPr>
          <w:p w14:paraId="4D8B5A9A" w14:textId="77777777" w:rsidR="00C91916" w:rsidRPr="00C91916" w:rsidRDefault="00C91916" w:rsidP="00C91916">
            <w:pPr>
              <w:rPr>
                <w:rFonts w:ascii="Arial" w:hAnsi="Arial" w:cs="Arial"/>
                <w:b/>
                <w:bCs/>
                <w:color w:val="000000" w:themeColor="text1"/>
                <w:sz w:val="16"/>
                <w:szCs w:val="16"/>
              </w:rPr>
            </w:pPr>
            <w:r w:rsidRPr="00C91916">
              <w:rPr>
                <w:rFonts w:ascii="Arial" w:hAnsi="Arial" w:cs="Arial"/>
                <w:b/>
                <w:bCs/>
                <w:color w:val="000000" w:themeColor="text1"/>
                <w:sz w:val="16"/>
                <w:szCs w:val="16"/>
              </w:rPr>
              <w:t>PROFIT FOR THE YEAR</w:t>
            </w:r>
          </w:p>
        </w:tc>
        <w:tc>
          <w:tcPr>
            <w:tcW w:w="1035" w:type="dxa"/>
            <w:tcBorders>
              <w:top w:val="single" w:sz="4" w:space="0" w:color="auto"/>
              <w:bottom w:val="single" w:sz="4" w:space="0" w:color="auto"/>
            </w:tcBorders>
            <w:shd w:val="clear" w:color="auto" w:fill="auto"/>
          </w:tcPr>
          <w:p w14:paraId="350B41A9"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3,359</w:t>
            </w:r>
          </w:p>
        </w:tc>
        <w:tc>
          <w:tcPr>
            <w:tcW w:w="1141" w:type="dxa"/>
            <w:tcBorders>
              <w:top w:val="single" w:sz="4" w:space="0" w:color="auto"/>
              <w:bottom w:val="single" w:sz="4" w:space="0" w:color="auto"/>
            </w:tcBorders>
            <w:shd w:val="clear" w:color="auto" w:fill="auto"/>
          </w:tcPr>
          <w:p w14:paraId="0BE2BAA7"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88</w:t>
            </w:r>
          </w:p>
        </w:tc>
        <w:tc>
          <w:tcPr>
            <w:tcW w:w="898" w:type="dxa"/>
            <w:tcBorders>
              <w:top w:val="single" w:sz="4" w:space="0" w:color="auto"/>
              <w:bottom w:val="single" w:sz="4" w:space="0" w:color="auto"/>
            </w:tcBorders>
            <w:shd w:val="clear" w:color="auto" w:fill="auto"/>
          </w:tcPr>
          <w:p w14:paraId="141F4C5F"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3,447</w:t>
            </w:r>
          </w:p>
        </w:tc>
        <w:tc>
          <w:tcPr>
            <w:tcW w:w="1035" w:type="dxa"/>
            <w:tcBorders>
              <w:top w:val="single" w:sz="4" w:space="0" w:color="auto"/>
              <w:bottom w:val="single" w:sz="4" w:space="0" w:color="auto"/>
            </w:tcBorders>
            <w:shd w:val="clear" w:color="auto" w:fill="auto"/>
          </w:tcPr>
          <w:p w14:paraId="0FC198BB"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1,274</w:t>
            </w:r>
          </w:p>
        </w:tc>
        <w:tc>
          <w:tcPr>
            <w:tcW w:w="1141" w:type="dxa"/>
            <w:tcBorders>
              <w:top w:val="single" w:sz="4" w:space="0" w:color="auto"/>
              <w:bottom w:val="single" w:sz="4" w:space="0" w:color="auto"/>
            </w:tcBorders>
          </w:tcPr>
          <w:p w14:paraId="110CE49A"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(353)</w:t>
            </w:r>
          </w:p>
        </w:tc>
        <w:tc>
          <w:tcPr>
            <w:tcW w:w="898" w:type="dxa"/>
            <w:tcBorders>
              <w:top w:val="single" w:sz="4" w:space="0" w:color="auto"/>
              <w:bottom w:val="single" w:sz="4" w:space="0" w:color="auto"/>
            </w:tcBorders>
          </w:tcPr>
          <w:p w14:paraId="36AA90EF"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921</w:t>
            </w:r>
          </w:p>
        </w:tc>
      </w:tr>
      <w:tr w:rsidR="00C91916" w:rsidRPr="00C91916" w14:paraId="4632C125" w14:textId="77777777" w:rsidTr="00C91916">
        <w:trPr>
          <w:trHeight w:val="284"/>
        </w:trPr>
        <w:tc>
          <w:tcPr>
            <w:tcW w:w="2599" w:type="dxa"/>
            <w:tcBorders>
              <w:top w:val="single" w:sz="4" w:space="0" w:color="auto"/>
            </w:tcBorders>
          </w:tcPr>
          <w:p w14:paraId="799967FA" w14:textId="77777777" w:rsidR="00C91916" w:rsidRPr="00C91916" w:rsidRDefault="00C91916" w:rsidP="00C91916">
            <w:pPr>
              <w:rPr>
                <w:rFonts w:ascii="Arial" w:hAnsi="Arial" w:cs="Arial"/>
                <w:color w:val="000000" w:themeColor="text1"/>
                <w:sz w:val="16"/>
                <w:szCs w:val="16"/>
              </w:rPr>
            </w:pPr>
          </w:p>
        </w:tc>
        <w:tc>
          <w:tcPr>
            <w:tcW w:w="1035" w:type="dxa"/>
            <w:tcBorders>
              <w:top w:val="single" w:sz="4" w:space="0" w:color="auto"/>
            </w:tcBorders>
          </w:tcPr>
          <w:p w14:paraId="09AFDE37" w14:textId="77777777" w:rsidR="00C91916" w:rsidRPr="00C91916" w:rsidRDefault="00C91916" w:rsidP="00C91916">
            <w:pPr>
              <w:jc w:val="right"/>
              <w:rPr>
                <w:rFonts w:ascii="Arial" w:hAnsi="Arial" w:cs="Arial"/>
                <w:color w:val="000000" w:themeColor="text1"/>
                <w:sz w:val="16"/>
                <w:szCs w:val="16"/>
              </w:rPr>
            </w:pPr>
          </w:p>
        </w:tc>
        <w:tc>
          <w:tcPr>
            <w:tcW w:w="1141" w:type="dxa"/>
            <w:tcBorders>
              <w:top w:val="single" w:sz="4" w:space="0" w:color="auto"/>
            </w:tcBorders>
          </w:tcPr>
          <w:p w14:paraId="3AEC9117" w14:textId="77777777" w:rsidR="00C91916" w:rsidRPr="00C91916" w:rsidRDefault="00C91916" w:rsidP="00C91916">
            <w:pPr>
              <w:jc w:val="right"/>
              <w:rPr>
                <w:rFonts w:ascii="Arial" w:hAnsi="Arial" w:cs="Arial"/>
                <w:color w:val="000000" w:themeColor="text1"/>
                <w:sz w:val="16"/>
                <w:szCs w:val="16"/>
              </w:rPr>
            </w:pPr>
          </w:p>
        </w:tc>
        <w:tc>
          <w:tcPr>
            <w:tcW w:w="898" w:type="dxa"/>
            <w:tcBorders>
              <w:top w:val="single" w:sz="4" w:space="0" w:color="auto"/>
            </w:tcBorders>
          </w:tcPr>
          <w:p w14:paraId="2086E02C" w14:textId="77777777" w:rsidR="00C91916" w:rsidRPr="00C91916" w:rsidRDefault="00C91916" w:rsidP="00C91916">
            <w:pPr>
              <w:jc w:val="right"/>
              <w:rPr>
                <w:rFonts w:ascii="Arial" w:hAnsi="Arial" w:cs="Arial"/>
                <w:b/>
                <w:bCs/>
                <w:color w:val="000000" w:themeColor="text1"/>
                <w:sz w:val="16"/>
                <w:szCs w:val="16"/>
              </w:rPr>
            </w:pPr>
          </w:p>
        </w:tc>
        <w:tc>
          <w:tcPr>
            <w:tcW w:w="1035" w:type="dxa"/>
            <w:tcBorders>
              <w:top w:val="single" w:sz="4" w:space="0" w:color="auto"/>
            </w:tcBorders>
          </w:tcPr>
          <w:p w14:paraId="7152B007" w14:textId="77777777" w:rsidR="00C91916" w:rsidRPr="00C91916" w:rsidRDefault="00C91916" w:rsidP="00C91916">
            <w:pPr>
              <w:jc w:val="right"/>
              <w:rPr>
                <w:rFonts w:ascii="Arial" w:hAnsi="Arial" w:cs="Arial"/>
                <w:sz w:val="16"/>
                <w:szCs w:val="16"/>
              </w:rPr>
            </w:pPr>
          </w:p>
        </w:tc>
        <w:tc>
          <w:tcPr>
            <w:tcW w:w="1141" w:type="dxa"/>
            <w:tcBorders>
              <w:top w:val="single" w:sz="4" w:space="0" w:color="auto"/>
            </w:tcBorders>
          </w:tcPr>
          <w:p w14:paraId="0C37F7A7" w14:textId="77777777" w:rsidR="00C91916" w:rsidRPr="00C91916" w:rsidRDefault="00C91916" w:rsidP="00C91916">
            <w:pPr>
              <w:jc w:val="right"/>
              <w:rPr>
                <w:rFonts w:ascii="Arial" w:hAnsi="Arial" w:cs="Arial"/>
                <w:sz w:val="16"/>
                <w:szCs w:val="16"/>
              </w:rPr>
            </w:pPr>
          </w:p>
        </w:tc>
        <w:tc>
          <w:tcPr>
            <w:tcW w:w="898" w:type="dxa"/>
            <w:tcBorders>
              <w:top w:val="single" w:sz="4" w:space="0" w:color="auto"/>
            </w:tcBorders>
          </w:tcPr>
          <w:p w14:paraId="5A2485ED" w14:textId="77777777" w:rsidR="00C91916" w:rsidRPr="00C91916" w:rsidRDefault="00C91916" w:rsidP="00C91916">
            <w:pPr>
              <w:jc w:val="right"/>
              <w:rPr>
                <w:rFonts w:ascii="Arial" w:hAnsi="Arial" w:cs="Arial"/>
                <w:b/>
                <w:bCs/>
                <w:sz w:val="16"/>
                <w:szCs w:val="16"/>
              </w:rPr>
            </w:pPr>
          </w:p>
        </w:tc>
      </w:tr>
      <w:tr w:rsidR="00C91916" w:rsidRPr="00C91916" w14:paraId="41FBA797" w14:textId="77777777" w:rsidTr="00C91916">
        <w:trPr>
          <w:trHeight w:val="284"/>
        </w:trPr>
        <w:tc>
          <w:tcPr>
            <w:tcW w:w="2599" w:type="dxa"/>
            <w:tcBorders>
              <w:bottom w:val="single" w:sz="4" w:space="0" w:color="auto"/>
            </w:tcBorders>
          </w:tcPr>
          <w:p w14:paraId="24287F6F"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Profit attributable to: Owners of the parent company</w:t>
            </w:r>
          </w:p>
        </w:tc>
        <w:tc>
          <w:tcPr>
            <w:tcW w:w="1035" w:type="dxa"/>
            <w:tcBorders>
              <w:bottom w:val="single" w:sz="4" w:space="0" w:color="auto"/>
            </w:tcBorders>
          </w:tcPr>
          <w:p w14:paraId="5F16478F"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3,359</w:t>
            </w:r>
          </w:p>
        </w:tc>
        <w:tc>
          <w:tcPr>
            <w:tcW w:w="1141" w:type="dxa"/>
            <w:tcBorders>
              <w:bottom w:val="single" w:sz="4" w:space="0" w:color="auto"/>
            </w:tcBorders>
          </w:tcPr>
          <w:p w14:paraId="74C41F4C"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88</w:t>
            </w:r>
          </w:p>
        </w:tc>
        <w:tc>
          <w:tcPr>
            <w:tcW w:w="898" w:type="dxa"/>
            <w:tcBorders>
              <w:bottom w:val="single" w:sz="4" w:space="0" w:color="auto"/>
            </w:tcBorders>
          </w:tcPr>
          <w:p w14:paraId="22F1AB76"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3,447</w:t>
            </w:r>
          </w:p>
        </w:tc>
        <w:tc>
          <w:tcPr>
            <w:tcW w:w="1035" w:type="dxa"/>
            <w:tcBorders>
              <w:bottom w:val="single" w:sz="4" w:space="0" w:color="auto"/>
            </w:tcBorders>
          </w:tcPr>
          <w:p w14:paraId="2C4B834B"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1,274</w:t>
            </w:r>
          </w:p>
        </w:tc>
        <w:tc>
          <w:tcPr>
            <w:tcW w:w="1141" w:type="dxa"/>
            <w:tcBorders>
              <w:bottom w:val="single" w:sz="4" w:space="0" w:color="auto"/>
            </w:tcBorders>
          </w:tcPr>
          <w:p w14:paraId="67F89B47"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(353)</w:t>
            </w:r>
          </w:p>
        </w:tc>
        <w:tc>
          <w:tcPr>
            <w:tcW w:w="898" w:type="dxa"/>
            <w:tcBorders>
              <w:bottom w:val="single" w:sz="4" w:space="0" w:color="auto"/>
            </w:tcBorders>
          </w:tcPr>
          <w:p w14:paraId="4769D420"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921</w:t>
            </w:r>
          </w:p>
        </w:tc>
      </w:tr>
      <w:tr w:rsidR="00C91916" w:rsidRPr="00C91916" w14:paraId="7AEB06CD" w14:textId="77777777" w:rsidTr="00C91916">
        <w:trPr>
          <w:trHeight w:val="284"/>
        </w:trPr>
        <w:tc>
          <w:tcPr>
            <w:tcW w:w="2599" w:type="dxa"/>
            <w:tcBorders>
              <w:top w:val="single" w:sz="4" w:space="0" w:color="auto"/>
            </w:tcBorders>
          </w:tcPr>
          <w:p w14:paraId="6E592F22" w14:textId="77777777" w:rsidR="00C91916" w:rsidRPr="00C91916" w:rsidRDefault="00C91916" w:rsidP="00C91916">
            <w:pPr>
              <w:rPr>
                <w:rFonts w:ascii="Arial" w:hAnsi="Arial" w:cs="Arial"/>
                <w:color w:val="000000" w:themeColor="text1"/>
                <w:sz w:val="16"/>
                <w:szCs w:val="16"/>
              </w:rPr>
            </w:pPr>
          </w:p>
        </w:tc>
        <w:tc>
          <w:tcPr>
            <w:tcW w:w="1035" w:type="dxa"/>
            <w:tcBorders>
              <w:top w:val="single" w:sz="4" w:space="0" w:color="auto"/>
            </w:tcBorders>
          </w:tcPr>
          <w:p w14:paraId="2B1DADDB" w14:textId="77777777" w:rsidR="00C91916" w:rsidRPr="00C91916" w:rsidRDefault="00C91916" w:rsidP="00C91916">
            <w:pPr>
              <w:jc w:val="right"/>
              <w:rPr>
                <w:rFonts w:ascii="Arial" w:hAnsi="Arial" w:cs="Arial"/>
                <w:color w:val="000000" w:themeColor="text1"/>
                <w:sz w:val="16"/>
                <w:szCs w:val="16"/>
              </w:rPr>
            </w:pPr>
          </w:p>
        </w:tc>
        <w:tc>
          <w:tcPr>
            <w:tcW w:w="1141" w:type="dxa"/>
            <w:tcBorders>
              <w:top w:val="single" w:sz="4" w:space="0" w:color="auto"/>
            </w:tcBorders>
          </w:tcPr>
          <w:p w14:paraId="2CA381B4" w14:textId="77777777" w:rsidR="00C91916" w:rsidRPr="00C91916" w:rsidRDefault="00C91916" w:rsidP="00C91916">
            <w:pPr>
              <w:jc w:val="right"/>
              <w:rPr>
                <w:rFonts w:ascii="Arial" w:hAnsi="Arial" w:cs="Arial"/>
                <w:color w:val="000000" w:themeColor="text1"/>
                <w:sz w:val="16"/>
                <w:szCs w:val="16"/>
              </w:rPr>
            </w:pPr>
          </w:p>
        </w:tc>
        <w:tc>
          <w:tcPr>
            <w:tcW w:w="898" w:type="dxa"/>
            <w:tcBorders>
              <w:top w:val="single" w:sz="4" w:space="0" w:color="auto"/>
            </w:tcBorders>
          </w:tcPr>
          <w:p w14:paraId="17B39363" w14:textId="77777777" w:rsidR="00C91916" w:rsidRPr="00C91916" w:rsidRDefault="00C91916" w:rsidP="00C91916">
            <w:pPr>
              <w:jc w:val="right"/>
              <w:rPr>
                <w:rFonts w:ascii="Arial" w:hAnsi="Arial" w:cs="Arial"/>
                <w:b/>
                <w:bCs/>
                <w:color w:val="000000" w:themeColor="text1"/>
                <w:sz w:val="16"/>
                <w:szCs w:val="16"/>
              </w:rPr>
            </w:pPr>
          </w:p>
        </w:tc>
        <w:tc>
          <w:tcPr>
            <w:tcW w:w="1035" w:type="dxa"/>
            <w:tcBorders>
              <w:top w:val="single" w:sz="4" w:space="0" w:color="auto"/>
            </w:tcBorders>
          </w:tcPr>
          <w:p w14:paraId="5F29EAE5" w14:textId="77777777" w:rsidR="00C91916" w:rsidRPr="00C91916" w:rsidRDefault="00C91916" w:rsidP="00C91916">
            <w:pPr>
              <w:jc w:val="right"/>
              <w:rPr>
                <w:rFonts w:ascii="Arial" w:hAnsi="Arial" w:cs="Arial"/>
                <w:sz w:val="16"/>
                <w:szCs w:val="16"/>
              </w:rPr>
            </w:pPr>
          </w:p>
        </w:tc>
        <w:tc>
          <w:tcPr>
            <w:tcW w:w="1141" w:type="dxa"/>
            <w:tcBorders>
              <w:top w:val="single" w:sz="4" w:space="0" w:color="auto"/>
            </w:tcBorders>
          </w:tcPr>
          <w:p w14:paraId="66253A4A" w14:textId="77777777" w:rsidR="00C91916" w:rsidRPr="00C91916" w:rsidRDefault="00C91916" w:rsidP="00C91916">
            <w:pPr>
              <w:jc w:val="right"/>
              <w:rPr>
                <w:rFonts w:ascii="Arial" w:hAnsi="Arial" w:cs="Arial"/>
                <w:sz w:val="16"/>
                <w:szCs w:val="16"/>
              </w:rPr>
            </w:pPr>
          </w:p>
        </w:tc>
        <w:tc>
          <w:tcPr>
            <w:tcW w:w="898" w:type="dxa"/>
            <w:tcBorders>
              <w:top w:val="single" w:sz="4" w:space="0" w:color="auto"/>
            </w:tcBorders>
          </w:tcPr>
          <w:p w14:paraId="3D3A26B0" w14:textId="77777777" w:rsidR="00C91916" w:rsidRPr="00C91916" w:rsidRDefault="00C91916" w:rsidP="00C91916">
            <w:pPr>
              <w:jc w:val="right"/>
              <w:rPr>
                <w:rFonts w:ascii="Arial" w:hAnsi="Arial" w:cs="Arial"/>
                <w:b/>
                <w:bCs/>
                <w:sz w:val="16"/>
                <w:szCs w:val="16"/>
              </w:rPr>
            </w:pPr>
          </w:p>
        </w:tc>
      </w:tr>
      <w:tr w:rsidR="00C91916" w:rsidRPr="00C91916" w14:paraId="38D36AF5" w14:textId="77777777" w:rsidTr="00C91916">
        <w:trPr>
          <w:trHeight w:val="284"/>
        </w:trPr>
        <w:tc>
          <w:tcPr>
            <w:tcW w:w="2599" w:type="dxa"/>
            <w:shd w:val="clear" w:color="auto" w:fill="auto"/>
          </w:tcPr>
          <w:p w14:paraId="2570D0A6" w14:textId="77777777" w:rsidR="00C91916" w:rsidRPr="00C91916" w:rsidRDefault="00C91916" w:rsidP="00C91916">
            <w:pPr>
              <w:rPr>
                <w:rFonts w:ascii="Arial" w:hAnsi="Arial" w:cs="Arial"/>
                <w:b/>
                <w:color w:val="000000" w:themeColor="text1"/>
                <w:sz w:val="16"/>
                <w:szCs w:val="16"/>
              </w:rPr>
            </w:pPr>
            <w:r w:rsidRPr="00C91916">
              <w:rPr>
                <w:rFonts w:ascii="Arial" w:hAnsi="Arial" w:cs="Arial"/>
                <w:b/>
                <w:color w:val="000000" w:themeColor="text1"/>
                <w:sz w:val="16"/>
                <w:szCs w:val="16"/>
              </w:rPr>
              <w:t>Earnings per share expressed in pence per share</w:t>
            </w:r>
          </w:p>
        </w:tc>
        <w:tc>
          <w:tcPr>
            <w:tcW w:w="1035" w:type="dxa"/>
            <w:shd w:val="clear" w:color="auto" w:fill="auto"/>
          </w:tcPr>
          <w:p w14:paraId="6CFFA7B8" w14:textId="77777777" w:rsidR="00C91916" w:rsidRPr="00C91916" w:rsidRDefault="00C91916" w:rsidP="00C91916">
            <w:pPr>
              <w:jc w:val="right"/>
              <w:rPr>
                <w:rFonts w:ascii="Arial" w:hAnsi="Arial" w:cs="Arial"/>
                <w:color w:val="000000" w:themeColor="text1"/>
                <w:sz w:val="16"/>
                <w:szCs w:val="16"/>
              </w:rPr>
            </w:pPr>
          </w:p>
        </w:tc>
        <w:tc>
          <w:tcPr>
            <w:tcW w:w="1141" w:type="dxa"/>
            <w:shd w:val="clear" w:color="auto" w:fill="auto"/>
          </w:tcPr>
          <w:p w14:paraId="26D23342" w14:textId="77777777" w:rsidR="00C91916" w:rsidRPr="00C91916" w:rsidRDefault="00C91916" w:rsidP="00C91916">
            <w:pPr>
              <w:jc w:val="right"/>
              <w:rPr>
                <w:rFonts w:ascii="Arial" w:hAnsi="Arial" w:cs="Arial"/>
                <w:color w:val="000000" w:themeColor="text1"/>
                <w:sz w:val="16"/>
                <w:szCs w:val="16"/>
              </w:rPr>
            </w:pPr>
          </w:p>
        </w:tc>
        <w:tc>
          <w:tcPr>
            <w:tcW w:w="898" w:type="dxa"/>
            <w:shd w:val="clear" w:color="auto" w:fill="auto"/>
          </w:tcPr>
          <w:p w14:paraId="690536BA" w14:textId="77777777" w:rsidR="00C91916" w:rsidRPr="00C91916" w:rsidRDefault="00C91916" w:rsidP="00C91916">
            <w:pPr>
              <w:jc w:val="right"/>
              <w:rPr>
                <w:rFonts w:ascii="Arial" w:hAnsi="Arial" w:cs="Arial"/>
                <w:b/>
                <w:color w:val="000000" w:themeColor="text1"/>
                <w:sz w:val="16"/>
                <w:szCs w:val="16"/>
              </w:rPr>
            </w:pPr>
          </w:p>
        </w:tc>
        <w:tc>
          <w:tcPr>
            <w:tcW w:w="1035" w:type="dxa"/>
          </w:tcPr>
          <w:p w14:paraId="08116FEA" w14:textId="77777777" w:rsidR="00C91916" w:rsidRPr="00C91916" w:rsidRDefault="00C91916" w:rsidP="00C91916">
            <w:pPr>
              <w:jc w:val="right"/>
              <w:rPr>
                <w:rFonts w:ascii="Arial" w:hAnsi="Arial" w:cs="Arial"/>
                <w:sz w:val="16"/>
                <w:szCs w:val="16"/>
              </w:rPr>
            </w:pPr>
          </w:p>
        </w:tc>
        <w:tc>
          <w:tcPr>
            <w:tcW w:w="1141" w:type="dxa"/>
          </w:tcPr>
          <w:p w14:paraId="1FFF1E87" w14:textId="77777777" w:rsidR="00C91916" w:rsidRPr="00C91916" w:rsidRDefault="00C91916" w:rsidP="00C91916">
            <w:pPr>
              <w:jc w:val="right"/>
              <w:rPr>
                <w:rFonts w:ascii="Arial" w:hAnsi="Arial" w:cs="Arial"/>
                <w:sz w:val="16"/>
                <w:szCs w:val="16"/>
                <w:highlight w:val="yellow"/>
              </w:rPr>
            </w:pPr>
          </w:p>
        </w:tc>
        <w:tc>
          <w:tcPr>
            <w:tcW w:w="898" w:type="dxa"/>
          </w:tcPr>
          <w:p w14:paraId="1942F591" w14:textId="77777777" w:rsidR="00C91916" w:rsidRPr="00C91916" w:rsidRDefault="00C91916" w:rsidP="00C91916">
            <w:pPr>
              <w:jc w:val="right"/>
              <w:rPr>
                <w:rFonts w:ascii="Arial" w:hAnsi="Arial" w:cs="Arial"/>
                <w:b/>
                <w:bCs/>
                <w:sz w:val="16"/>
                <w:szCs w:val="16"/>
                <w:highlight w:val="yellow"/>
              </w:rPr>
            </w:pPr>
          </w:p>
        </w:tc>
      </w:tr>
      <w:tr w:rsidR="00C91916" w:rsidRPr="00C91916" w14:paraId="72330818" w14:textId="77777777" w:rsidTr="00C91916">
        <w:trPr>
          <w:trHeight w:val="284"/>
        </w:trPr>
        <w:tc>
          <w:tcPr>
            <w:tcW w:w="2599" w:type="dxa"/>
            <w:shd w:val="clear" w:color="auto" w:fill="auto"/>
          </w:tcPr>
          <w:p w14:paraId="21BB0416"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Basic</w:t>
            </w:r>
          </w:p>
        </w:tc>
        <w:tc>
          <w:tcPr>
            <w:tcW w:w="1035" w:type="dxa"/>
            <w:shd w:val="clear" w:color="auto" w:fill="auto"/>
          </w:tcPr>
          <w:p w14:paraId="59985401"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3.63</w:t>
            </w:r>
          </w:p>
        </w:tc>
        <w:tc>
          <w:tcPr>
            <w:tcW w:w="1141" w:type="dxa"/>
            <w:shd w:val="clear" w:color="auto" w:fill="auto"/>
          </w:tcPr>
          <w:p w14:paraId="43DBA1E0"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0.10</w:t>
            </w:r>
          </w:p>
        </w:tc>
        <w:tc>
          <w:tcPr>
            <w:tcW w:w="898" w:type="dxa"/>
            <w:shd w:val="clear" w:color="auto" w:fill="auto"/>
          </w:tcPr>
          <w:p w14:paraId="5BDDDD59" w14:textId="77777777" w:rsidR="00C91916" w:rsidRPr="00C91916" w:rsidRDefault="00C91916" w:rsidP="00C91916">
            <w:pPr>
              <w:jc w:val="right"/>
              <w:rPr>
                <w:rFonts w:ascii="Arial" w:hAnsi="Arial" w:cs="Arial"/>
                <w:b/>
                <w:color w:val="000000" w:themeColor="text1"/>
                <w:sz w:val="16"/>
                <w:szCs w:val="16"/>
              </w:rPr>
            </w:pPr>
            <w:r w:rsidRPr="00C91916">
              <w:rPr>
                <w:rFonts w:ascii="Arial" w:hAnsi="Arial" w:cs="Arial"/>
                <w:b/>
                <w:color w:val="000000" w:themeColor="text1"/>
                <w:sz w:val="16"/>
                <w:szCs w:val="16"/>
              </w:rPr>
              <w:t>3.73</w:t>
            </w:r>
          </w:p>
        </w:tc>
        <w:tc>
          <w:tcPr>
            <w:tcW w:w="1035" w:type="dxa"/>
          </w:tcPr>
          <w:p w14:paraId="69818A67"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1.38</w:t>
            </w:r>
          </w:p>
        </w:tc>
        <w:tc>
          <w:tcPr>
            <w:tcW w:w="1141" w:type="dxa"/>
            <w:shd w:val="clear" w:color="auto" w:fill="auto"/>
          </w:tcPr>
          <w:p w14:paraId="29A780EA"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(0.38)</w:t>
            </w:r>
          </w:p>
        </w:tc>
        <w:tc>
          <w:tcPr>
            <w:tcW w:w="898" w:type="dxa"/>
            <w:shd w:val="clear" w:color="auto" w:fill="auto"/>
          </w:tcPr>
          <w:p w14:paraId="1A094F47"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1.00</w:t>
            </w:r>
          </w:p>
        </w:tc>
      </w:tr>
      <w:tr w:rsidR="00C91916" w:rsidRPr="00C91916" w14:paraId="029C73FD" w14:textId="77777777" w:rsidTr="00C91916">
        <w:trPr>
          <w:trHeight w:val="284"/>
        </w:trPr>
        <w:tc>
          <w:tcPr>
            <w:tcW w:w="2599" w:type="dxa"/>
            <w:tcBorders>
              <w:bottom w:val="single" w:sz="4" w:space="0" w:color="auto"/>
            </w:tcBorders>
            <w:shd w:val="clear" w:color="auto" w:fill="auto"/>
          </w:tcPr>
          <w:p w14:paraId="2ACA6E7E"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Diluted</w:t>
            </w:r>
          </w:p>
        </w:tc>
        <w:tc>
          <w:tcPr>
            <w:tcW w:w="1035" w:type="dxa"/>
            <w:tcBorders>
              <w:bottom w:val="single" w:sz="4" w:space="0" w:color="auto"/>
            </w:tcBorders>
            <w:shd w:val="clear" w:color="auto" w:fill="auto"/>
          </w:tcPr>
          <w:p w14:paraId="446F20F0"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3.63</w:t>
            </w:r>
          </w:p>
        </w:tc>
        <w:tc>
          <w:tcPr>
            <w:tcW w:w="1141" w:type="dxa"/>
            <w:tcBorders>
              <w:bottom w:val="single" w:sz="4" w:space="0" w:color="auto"/>
            </w:tcBorders>
            <w:shd w:val="clear" w:color="auto" w:fill="auto"/>
          </w:tcPr>
          <w:p w14:paraId="764F7837"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0.10</w:t>
            </w:r>
          </w:p>
        </w:tc>
        <w:tc>
          <w:tcPr>
            <w:tcW w:w="898" w:type="dxa"/>
            <w:tcBorders>
              <w:bottom w:val="single" w:sz="4" w:space="0" w:color="auto"/>
            </w:tcBorders>
            <w:shd w:val="clear" w:color="auto" w:fill="auto"/>
          </w:tcPr>
          <w:p w14:paraId="61C3DECC" w14:textId="77777777" w:rsidR="00C91916" w:rsidRPr="00C91916" w:rsidRDefault="00C91916" w:rsidP="00C91916">
            <w:pPr>
              <w:jc w:val="right"/>
              <w:rPr>
                <w:rFonts w:ascii="Arial" w:hAnsi="Arial" w:cs="Arial"/>
                <w:b/>
                <w:color w:val="000000" w:themeColor="text1"/>
                <w:sz w:val="16"/>
                <w:szCs w:val="16"/>
              </w:rPr>
            </w:pPr>
            <w:r w:rsidRPr="00C91916">
              <w:rPr>
                <w:rFonts w:ascii="Arial" w:hAnsi="Arial" w:cs="Arial"/>
                <w:b/>
                <w:color w:val="000000" w:themeColor="text1"/>
                <w:sz w:val="16"/>
                <w:szCs w:val="16"/>
              </w:rPr>
              <w:t>3.73</w:t>
            </w:r>
          </w:p>
        </w:tc>
        <w:tc>
          <w:tcPr>
            <w:tcW w:w="1035" w:type="dxa"/>
            <w:tcBorders>
              <w:bottom w:val="single" w:sz="4" w:space="0" w:color="auto"/>
            </w:tcBorders>
          </w:tcPr>
          <w:p w14:paraId="32472C06"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1.38</w:t>
            </w:r>
          </w:p>
        </w:tc>
        <w:tc>
          <w:tcPr>
            <w:tcW w:w="1141" w:type="dxa"/>
            <w:tcBorders>
              <w:bottom w:val="single" w:sz="4" w:space="0" w:color="auto"/>
            </w:tcBorders>
            <w:shd w:val="clear" w:color="auto" w:fill="auto"/>
          </w:tcPr>
          <w:p w14:paraId="6F70BBF1"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(0.38)</w:t>
            </w:r>
          </w:p>
        </w:tc>
        <w:tc>
          <w:tcPr>
            <w:tcW w:w="898" w:type="dxa"/>
            <w:tcBorders>
              <w:bottom w:val="single" w:sz="4" w:space="0" w:color="auto"/>
            </w:tcBorders>
            <w:shd w:val="clear" w:color="auto" w:fill="auto"/>
          </w:tcPr>
          <w:p w14:paraId="52E6FD9E"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1.00</w:t>
            </w:r>
          </w:p>
        </w:tc>
      </w:tr>
      <w:tr w:rsidR="00C91916" w:rsidRPr="00C91916" w14:paraId="07579986" w14:textId="77777777" w:rsidTr="00031A53">
        <w:trPr>
          <w:trHeight w:val="284"/>
        </w:trPr>
        <w:tc>
          <w:tcPr>
            <w:tcW w:w="8747" w:type="dxa"/>
            <w:gridSpan w:val="7"/>
            <w:tcBorders>
              <w:top w:val="single" w:sz="4" w:space="0" w:color="auto"/>
            </w:tcBorders>
          </w:tcPr>
          <w:p w14:paraId="7751A94A" w14:textId="77777777" w:rsidR="00C91916" w:rsidRDefault="00C91916" w:rsidP="00C91916">
            <w:pPr>
              <w:rPr>
                <w:rFonts w:ascii="Arial" w:hAnsi="Arial" w:cs="Arial"/>
                <w:color w:val="000000" w:themeColor="text1"/>
                <w:sz w:val="16"/>
                <w:szCs w:val="16"/>
              </w:rPr>
            </w:pPr>
          </w:p>
          <w:p w14:paraId="17067A2B" w14:textId="77777777" w:rsidR="00C91916" w:rsidRDefault="00C91916" w:rsidP="00C91916">
            <w:pPr>
              <w:widowControl w:val="0"/>
              <w:tabs>
                <w:tab w:val="left" w:pos="0"/>
              </w:tabs>
              <w:autoSpaceDE w:val="0"/>
              <w:autoSpaceDN w:val="0"/>
              <w:adjustRightInd w:val="0"/>
              <w:ind w:right="941"/>
              <w:rPr>
                <w:rFonts w:eastAsia="Times New Roman" w:cstheme="minorHAnsi"/>
                <w:b/>
                <w:bCs/>
                <w:color w:val="000000"/>
              </w:rPr>
            </w:pPr>
          </w:p>
          <w:p w14:paraId="12D87C3D" w14:textId="3A52D6C8" w:rsidR="00C91916" w:rsidRPr="00704135" w:rsidRDefault="00C91916" w:rsidP="00C91916">
            <w:pPr>
              <w:widowControl w:val="0"/>
              <w:tabs>
                <w:tab w:val="left" w:pos="0"/>
              </w:tabs>
              <w:autoSpaceDE w:val="0"/>
              <w:autoSpaceDN w:val="0"/>
              <w:adjustRightInd w:val="0"/>
              <w:ind w:right="941"/>
              <w:rPr>
                <w:rFonts w:eastAsia="Times New Roman" w:cstheme="minorHAnsi"/>
                <w:b/>
                <w:bCs/>
                <w:color w:val="000000"/>
              </w:rPr>
            </w:pPr>
            <w:r w:rsidRPr="00704135">
              <w:rPr>
                <w:rFonts w:eastAsia="Times New Roman" w:cstheme="minorHAnsi"/>
                <w:b/>
                <w:bCs/>
                <w:color w:val="000000"/>
              </w:rPr>
              <w:t>CONSOLIDATED INCOME STATEMENT</w:t>
            </w:r>
          </w:p>
          <w:p w14:paraId="1622E97C" w14:textId="77777777" w:rsidR="00C91916" w:rsidRPr="00704135" w:rsidRDefault="00C91916" w:rsidP="00C91916">
            <w:pPr>
              <w:widowControl w:val="0"/>
              <w:tabs>
                <w:tab w:val="left" w:pos="0"/>
              </w:tabs>
              <w:autoSpaceDE w:val="0"/>
              <w:autoSpaceDN w:val="0"/>
              <w:adjustRightInd w:val="0"/>
              <w:ind w:right="941"/>
              <w:rPr>
                <w:rFonts w:eastAsia="Times New Roman" w:cstheme="minorHAnsi"/>
                <w:b/>
                <w:bCs/>
                <w:color w:val="000000"/>
              </w:rPr>
            </w:pPr>
            <w:r w:rsidRPr="00704135">
              <w:rPr>
                <w:rFonts w:eastAsia="Times New Roman" w:cstheme="minorHAnsi"/>
                <w:b/>
                <w:bCs/>
                <w:color w:val="000000"/>
              </w:rPr>
              <w:t>FOR THE YEAR ENDED 31 MAY 202</w:t>
            </w:r>
            <w:r>
              <w:rPr>
                <w:rFonts w:eastAsia="Times New Roman" w:cstheme="minorHAnsi"/>
                <w:b/>
                <w:bCs/>
                <w:color w:val="000000"/>
              </w:rPr>
              <w:t>3</w:t>
            </w:r>
          </w:p>
          <w:p w14:paraId="0E1CF109" w14:textId="77777777" w:rsidR="00C91916" w:rsidRPr="00C91916" w:rsidRDefault="00C91916" w:rsidP="00C91916">
            <w:pPr>
              <w:rPr>
                <w:rFonts w:ascii="Arial" w:hAnsi="Arial" w:cs="Arial"/>
                <w:sz w:val="16"/>
                <w:szCs w:val="16"/>
              </w:rPr>
            </w:pPr>
          </w:p>
        </w:tc>
      </w:tr>
      <w:tr w:rsidR="00C91916" w:rsidRPr="00C91916" w14:paraId="1575AC6C" w14:textId="77777777" w:rsidTr="00C91916">
        <w:trPr>
          <w:trHeight w:val="284"/>
        </w:trPr>
        <w:tc>
          <w:tcPr>
            <w:tcW w:w="2599" w:type="dxa"/>
          </w:tcPr>
          <w:p w14:paraId="46A96672" w14:textId="77777777" w:rsidR="00C91916" w:rsidRPr="00C91916" w:rsidRDefault="00C91916" w:rsidP="00C91916">
            <w:pPr>
              <w:rPr>
                <w:rFonts w:ascii="Arial" w:hAnsi="Arial" w:cs="Arial"/>
                <w:color w:val="000000" w:themeColor="text1"/>
                <w:sz w:val="16"/>
                <w:szCs w:val="16"/>
              </w:rPr>
            </w:pPr>
          </w:p>
        </w:tc>
        <w:tc>
          <w:tcPr>
            <w:tcW w:w="1035" w:type="dxa"/>
          </w:tcPr>
          <w:p w14:paraId="0D8883BA" w14:textId="77777777" w:rsidR="00C91916" w:rsidRPr="00C91916" w:rsidRDefault="00C91916" w:rsidP="00C91916">
            <w:pPr>
              <w:rPr>
                <w:rFonts w:ascii="Arial" w:hAnsi="Arial" w:cs="Arial"/>
                <w:color w:val="000000" w:themeColor="text1"/>
                <w:sz w:val="16"/>
                <w:szCs w:val="16"/>
              </w:rPr>
            </w:pPr>
          </w:p>
        </w:tc>
        <w:tc>
          <w:tcPr>
            <w:tcW w:w="1141" w:type="dxa"/>
          </w:tcPr>
          <w:p w14:paraId="49322699" w14:textId="77777777" w:rsidR="00C91916" w:rsidRPr="00C91916" w:rsidRDefault="00C91916" w:rsidP="00C91916">
            <w:pPr>
              <w:rPr>
                <w:rFonts w:ascii="Arial" w:hAnsi="Arial" w:cs="Arial"/>
                <w:color w:val="000000" w:themeColor="text1"/>
                <w:sz w:val="16"/>
                <w:szCs w:val="16"/>
              </w:rPr>
            </w:pPr>
          </w:p>
        </w:tc>
        <w:tc>
          <w:tcPr>
            <w:tcW w:w="898" w:type="dxa"/>
          </w:tcPr>
          <w:p w14:paraId="23FFA5FB" w14:textId="77777777" w:rsidR="00C91916" w:rsidRPr="00C91916" w:rsidRDefault="00C91916" w:rsidP="00C91916">
            <w:pPr>
              <w:rPr>
                <w:rFonts w:ascii="Arial" w:hAnsi="Arial" w:cs="Arial"/>
                <w:b/>
                <w:bCs/>
                <w:color w:val="000000" w:themeColor="text1"/>
                <w:sz w:val="16"/>
                <w:szCs w:val="16"/>
              </w:rPr>
            </w:pPr>
          </w:p>
        </w:tc>
        <w:tc>
          <w:tcPr>
            <w:tcW w:w="1035" w:type="dxa"/>
          </w:tcPr>
          <w:p w14:paraId="218F6554" w14:textId="77777777" w:rsidR="00C91916" w:rsidRPr="00C91916" w:rsidRDefault="00C91916" w:rsidP="00C91916">
            <w:pPr>
              <w:rPr>
                <w:rFonts w:ascii="Arial" w:hAnsi="Arial" w:cs="Arial"/>
                <w:color w:val="FF0000"/>
                <w:sz w:val="16"/>
                <w:szCs w:val="16"/>
              </w:rPr>
            </w:pPr>
          </w:p>
        </w:tc>
        <w:tc>
          <w:tcPr>
            <w:tcW w:w="1141" w:type="dxa"/>
          </w:tcPr>
          <w:p w14:paraId="152F0483" w14:textId="77777777" w:rsidR="00C91916" w:rsidRPr="00C91916" w:rsidRDefault="00C91916" w:rsidP="00C91916">
            <w:pPr>
              <w:rPr>
                <w:rFonts w:ascii="Arial" w:hAnsi="Arial" w:cs="Arial"/>
                <w:color w:val="FF0000"/>
                <w:sz w:val="16"/>
                <w:szCs w:val="16"/>
              </w:rPr>
            </w:pPr>
          </w:p>
        </w:tc>
        <w:tc>
          <w:tcPr>
            <w:tcW w:w="898" w:type="dxa"/>
          </w:tcPr>
          <w:p w14:paraId="47CCC385" w14:textId="77777777" w:rsidR="00C91916" w:rsidRPr="00C91916" w:rsidRDefault="00C91916" w:rsidP="00C91916">
            <w:pPr>
              <w:rPr>
                <w:rFonts w:ascii="Arial" w:hAnsi="Arial" w:cs="Arial"/>
                <w:color w:val="FF0000"/>
                <w:sz w:val="16"/>
                <w:szCs w:val="16"/>
              </w:rPr>
            </w:pPr>
          </w:p>
        </w:tc>
      </w:tr>
      <w:tr w:rsidR="00C91916" w:rsidRPr="00C91916" w14:paraId="7E1B2662" w14:textId="77777777" w:rsidTr="00C91916">
        <w:trPr>
          <w:trHeight w:val="284"/>
        </w:trPr>
        <w:tc>
          <w:tcPr>
            <w:tcW w:w="2599" w:type="dxa"/>
            <w:tcBorders>
              <w:top w:val="single" w:sz="4" w:space="0" w:color="auto"/>
              <w:bottom w:val="single" w:sz="4" w:space="0" w:color="auto"/>
            </w:tcBorders>
          </w:tcPr>
          <w:p w14:paraId="6100C4B4"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PROFIT FOR THE YEAR</w:t>
            </w:r>
          </w:p>
        </w:tc>
        <w:tc>
          <w:tcPr>
            <w:tcW w:w="1035" w:type="dxa"/>
            <w:tcBorders>
              <w:top w:val="single" w:sz="4" w:space="0" w:color="auto"/>
              <w:bottom w:val="single" w:sz="4" w:space="0" w:color="auto"/>
            </w:tcBorders>
          </w:tcPr>
          <w:p w14:paraId="5A2FBCF4"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3,359</w:t>
            </w:r>
          </w:p>
        </w:tc>
        <w:tc>
          <w:tcPr>
            <w:tcW w:w="1141" w:type="dxa"/>
            <w:tcBorders>
              <w:top w:val="single" w:sz="4" w:space="0" w:color="auto"/>
              <w:bottom w:val="single" w:sz="4" w:space="0" w:color="auto"/>
            </w:tcBorders>
          </w:tcPr>
          <w:p w14:paraId="7470D3B3"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88</w:t>
            </w:r>
          </w:p>
        </w:tc>
        <w:tc>
          <w:tcPr>
            <w:tcW w:w="898" w:type="dxa"/>
            <w:tcBorders>
              <w:top w:val="single" w:sz="4" w:space="0" w:color="auto"/>
              <w:bottom w:val="single" w:sz="4" w:space="0" w:color="auto"/>
            </w:tcBorders>
          </w:tcPr>
          <w:p w14:paraId="27766BEC"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3,447</w:t>
            </w:r>
          </w:p>
        </w:tc>
        <w:tc>
          <w:tcPr>
            <w:tcW w:w="1035" w:type="dxa"/>
            <w:tcBorders>
              <w:top w:val="single" w:sz="4" w:space="0" w:color="auto"/>
              <w:bottom w:val="single" w:sz="4" w:space="0" w:color="auto"/>
            </w:tcBorders>
          </w:tcPr>
          <w:p w14:paraId="0516F3D0"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1,274</w:t>
            </w:r>
          </w:p>
        </w:tc>
        <w:tc>
          <w:tcPr>
            <w:tcW w:w="1141" w:type="dxa"/>
            <w:tcBorders>
              <w:top w:val="single" w:sz="4" w:space="0" w:color="auto"/>
              <w:bottom w:val="single" w:sz="4" w:space="0" w:color="auto"/>
            </w:tcBorders>
          </w:tcPr>
          <w:p w14:paraId="5C941314"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(353)</w:t>
            </w:r>
          </w:p>
        </w:tc>
        <w:tc>
          <w:tcPr>
            <w:tcW w:w="898" w:type="dxa"/>
            <w:tcBorders>
              <w:top w:val="single" w:sz="4" w:space="0" w:color="auto"/>
              <w:bottom w:val="single" w:sz="4" w:space="0" w:color="auto"/>
            </w:tcBorders>
          </w:tcPr>
          <w:p w14:paraId="37ACE006"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921</w:t>
            </w:r>
          </w:p>
        </w:tc>
      </w:tr>
      <w:tr w:rsidR="00C91916" w:rsidRPr="00C91916" w14:paraId="53DC8383" w14:textId="77777777" w:rsidTr="00C91916">
        <w:trPr>
          <w:trHeight w:val="284"/>
        </w:trPr>
        <w:tc>
          <w:tcPr>
            <w:tcW w:w="2599" w:type="dxa"/>
            <w:tcBorders>
              <w:top w:val="single" w:sz="4" w:space="0" w:color="auto"/>
              <w:bottom w:val="single" w:sz="4" w:space="0" w:color="auto"/>
            </w:tcBorders>
          </w:tcPr>
          <w:p w14:paraId="729C867E"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OTHER COMPREHENSIVE INCOME</w:t>
            </w:r>
          </w:p>
        </w:tc>
        <w:tc>
          <w:tcPr>
            <w:tcW w:w="1035" w:type="dxa"/>
            <w:tcBorders>
              <w:top w:val="single" w:sz="4" w:space="0" w:color="auto"/>
              <w:bottom w:val="single" w:sz="4" w:space="0" w:color="auto"/>
            </w:tcBorders>
          </w:tcPr>
          <w:p w14:paraId="363144E1"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w:t>
            </w:r>
          </w:p>
        </w:tc>
        <w:tc>
          <w:tcPr>
            <w:tcW w:w="1141" w:type="dxa"/>
            <w:tcBorders>
              <w:top w:val="single" w:sz="4" w:space="0" w:color="auto"/>
              <w:bottom w:val="single" w:sz="4" w:space="0" w:color="auto"/>
            </w:tcBorders>
          </w:tcPr>
          <w:p w14:paraId="1B2C41FC"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w:t>
            </w:r>
          </w:p>
        </w:tc>
        <w:tc>
          <w:tcPr>
            <w:tcW w:w="898" w:type="dxa"/>
            <w:tcBorders>
              <w:top w:val="single" w:sz="4" w:space="0" w:color="auto"/>
              <w:bottom w:val="single" w:sz="4" w:space="0" w:color="auto"/>
            </w:tcBorders>
          </w:tcPr>
          <w:p w14:paraId="0BEC16A6"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w:t>
            </w:r>
          </w:p>
        </w:tc>
        <w:tc>
          <w:tcPr>
            <w:tcW w:w="1035" w:type="dxa"/>
            <w:tcBorders>
              <w:top w:val="single" w:sz="4" w:space="0" w:color="auto"/>
              <w:bottom w:val="single" w:sz="4" w:space="0" w:color="auto"/>
            </w:tcBorders>
          </w:tcPr>
          <w:p w14:paraId="7B2D9752"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w:t>
            </w:r>
          </w:p>
        </w:tc>
        <w:tc>
          <w:tcPr>
            <w:tcW w:w="1141" w:type="dxa"/>
            <w:tcBorders>
              <w:top w:val="single" w:sz="4" w:space="0" w:color="auto"/>
              <w:bottom w:val="single" w:sz="4" w:space="0" w:color="auto"/>
            </w:tcBorders>
          </w:tcPr>
          <w:p w14:paraId="1F132DC3"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w:t>
            </w:r>
          </w:p>
        </w:tc>
        <w:tc>
          <w:tcPr>
            <w:tcW w:w="898" w:type="dxa"/>
            <w:tcBorders>
              <w:top w:val="single" w:sz="4" w:space="0" w:color="auto"/>
              <w:bottom w:val="single" w:sz="4" w:space="0" w:color="auto"/>
            </w:tcBorders>
          </w:tcPr>
          <w:p w14:paraId="3DCF46D1"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w:t>
            </w:r>
          </w:p>
        </w:tc>
      </w:tr>
      <w:tr w:rsidR="00C91916" w:rsidRPr="00C91916" w14:paraId="148D9056" w14:textId="77777777" w:rsidTr="00C91916">
        <w:trPr>
          <w:trHeight w:val="284"/>
        </w:trPr>
        <w:tc>
          <w:tcPr>
            <w:tcW w:w="2599" w:type="dxa"/>
            <w:tcBorders>
              <w:top w:val="single" w:sz="4" w:space="0" w:color="auto"/>
              <w:bottom w:val="single" w:sz="4" w:space="0" w:color="auto"/>
            </w:tcBorders>
          </w:tcPr>
          <w:p w14:paraId="4DAE0C49"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TOTAL COMPREHENSIVE INCOME FOR THE YEAR</w:t>
            </w:r>
          </w:p>
        </w:tc>
        <w:tc>
          <w:tcPr>
            <w:tcW w:w="1035" w:type="dxa"/>
            <w:tcBorders>
              <w:top w:val="single" w:sz="4" w:space="0" w:color="auto"/>
              <w:bottom w:val="single" w:sz="4" w:space="0" w:color="auto"/>
            </w:tcBorders>
          </w:tcPr>
          <w:p w14:paraId="6AA05034"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3,359</w:t>
            </w:r>
          </w:p>
        </w:tc>
        <w:tc>
          <w:tcPr>
            <w:tcW w:w="1141" w:type="dxa"/>
            <w:tcBorders>
              <w:top w:val="single" w:sz="4" w:space="0" w:color="auto"/>
              <w:bottom w:val="single" w:sz="4" w:space="0" w:color="auto"/>
            </w:tcBorders>
          </w:tcPr>
          <w:p w14:paraId="2331D720"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88</w:t>
            </w:r>
          </w:p>
        </w:tc>
        <w:tc>
          <w:tcPr>
            <w:tcW w:w="898" w:type="dxa"/>
            <w:tcBorders>
              <w:top w:val="single" w:sz="4" w:space="0" w:color="auto"/>
              <w:bottom w:val="single" w:sz="4" w:space="0" w:color="auto"/>
            </w:tcBorders>
          </w:tcPr>
          <w:p w14:paraId="4A16A03F"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3,447</w:t>
            </w:r>
          </w:p>
        </w:tc>
        <w:tc>
          <w:tcPr>
            <w:tcW w:w="1035" w:type="dxa"/>
            <w:tcBorders>
              <w:top w:val="single" w:sz="4" w:space="0" w:color="auto"/>
              <w:bottom w:val="single" w:sz="4" w:space="0" w:color="auto"/>
            </w:tcBorders>
          </w:tcPr>
          <w:p w14:paraId="610E5E83"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1,274</w:t>
            </w:r>
          </w:p>
        </w:tc>
        <w:tc>
          <w:tcPr>
            <w:tcW w:w="1141" w:type="dxa"/>
            <w:tcBorders>
              <w:top w:val="single" w:sz="4" w:space="0" w:color="auto"/>
              <w:bottom w:val="single" w:sz="4" w:space="0" w:color="auto"/>
            </w:tcBorders>
          </w:tcPr>
          <w:p w14:paraId="7F4CA852"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(353)</w:t>
            </w:r>
          </w:p>
        </w:tc>
        <w:tc>
          <w:tcPr>
            <w:tcW w:w="898" w:type="dxa"/>
            <w:tcBorders>
              <w:top w:val="single" w:sz="4" w:space="0" w:color="auto"/>
              <w:bottom w:val="single" w:sz="4" w:space="0" w:color="auto"/>
            </w:tcBorders>
          </w:tcPr>
          <w:p w14:paraId="3AE23EBC"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921</w:t>
            </w:r>
          </w:p>
        </w:tc>
      </w:tr>
      <w:tr w:rsidR="00C91916" w:rsidRPr="00C91916" w14:paraId="05464464" w14:textId="77777777" w:rsidTr="00C91916">
        <w:trPr>
          <w:trHeight w:val="284"/>
        </w:trPr>
        <w:tc>
          <w:tcPr>
            <w:tcW w:w="2599" w:type="dxa"/>
            <w:tcBorders>
              <w:top w:val="single" w:sz="4" w:space="0" w:color="auto"/>
              <w:bottom w:val="single" w:sz="4" w:space="0" w:color="auto"/>
            </w:tcBorders>
          </w:tcPr>
          <w:p w14:paraId="15E6E526" w14:textId="77777777" w:rsidR="00C91916" w:rsidRPr="00C91916" w:rsidRDefault="00C91916" w:rsidP="00C91916">
            <w:pPr>
              <w:rPr>
                <w:rFonts w:ascii="Arial" w:hAnsi="Arial" w:cs="Arial"/>
                <w:color w:val="000000" w:themeColor="text1"/>
                <w:sz w:val="16"/>
                <w:szCs w:val="16"/>
              </w:rPr>
            </w:pPr>
            <w:r w:rsidRPr="00C91916">
              <w:rPr>
                <w:rFonts w:ascii="Arial" w:hAnsi="Arial" w:cs="Arial"/>
                <w:color w:val="000000" w:themeColor="text1"/>
                <w:sz w:val="16"/>
                <w:szCs w:val="16"/>
              </w:rPr>
              <w:t>Total comprehensive income attributable to: Owners of the parent company</w:t>
            </w:r>
          </w:p>
        </w:tc>
        <w:tc>
          <w:tcPr>
            <w:tcW w:w="1035" w:type="dxa"/>
            <w:tcBorders>
              <w:top w:val="single" w:sz="4" w:space="0" w:color="auto"/>
              <w:bottom w:val="single" w:sz="4" w:space="0" w:color="auto"/>
            </w:tcBorders>
          </w:tcPr>
          <w:p w14:paraId="2FF6DBA4"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3,359</w:t>
            </w:r>
          </w:p>
        </w:tc>
        <w:tc>
          <w:tcPr>
            <w:tcW w:w="1141" w:type="dxa"/>
            <w:tcBorders>
              <w:top w:val="single" w:sz="4" w:space="0" w:color="auto"/>
              <w:bottom w:val="single" w:sz="4" w:space="0" w:color="auto"/>
            </w:tcBorders>
          </w:tcPr>
          <w:p w14:paraId="2C54E8F0" w14:textId="77777777" w:rsidR="00C91916" w:rsidRPr="00C91916" w:rsidRDefault="00C91916" w:rsidP="00C91916">
            <w:pPr>
              <w:jc w:val="right"/>
              <w:rPr>
                <w:rFonts w:ascii="Arial" w:hAnsi="Arial" w:cs="Arial"/>
                <w:color w:val="000000" w:themeColor="text1"/>
                <w:sz w:val="16"/>
                <w:szCs w:val="16"/>
              </w:rPr>
            </w:pPr>
            <w:r w:rsidRPr="00C91916">
              <w:rPr>
                <w:rFonts w:ascii="Arial" w:hAnsi="Arial" w:cs="Arial"/>
                <w:color w:val="000000" w:themeColor="text1"/>
                <w:sz w:val="16"/>
                <w:szCs w:val="16"/>
              </w:rPr>
              <w:t>88</w:t>
            </w:r>
          </w:p>
        </w:tc>
        <w:tc>
          <w:tcPr>
            <w:tcW w:w="898" w:type="dxa"/>
            <w:tcBorders>
              <w:top w:val="single" w:sz="4" w:space="0" w:color="auto"/>
              <w:bottom w:val="single" w:sz="4" w:space="0" w:color="auto"/>
            </w:tcBorders>
          </w:tcPr>
          <w:p w14:paraId="5079082B" w14:textId="77777777" w:rsidR="00C91916" w:rsidRPr="00C91916" w:rsidRDefault="00C91916" w:rsidP="00C91916">
            <w:pPr>
              <w:jc w:val="right"/>
              <w:rPr>
                <w:rFonts w:ascii="Arial" w:hAnsi="Arial" w:cs="Arial"/>
                <w:b/>
                <w:bCs/>
                <w:color w:val="000000" w:themeColor="text1"/>
                <w:sz w:val="16"/>
                <w:szCs w:val="16"/>
              </w:rPr>
            </w:pPr>
            <w:r w:rsidRPr="00C91916">
              <w:rPr>
                <w:rFonts w:ascii="Arial" w:hAnsi="Arial" w:cs="Arial"/>
                <w:b/>
                <w:bCs/>
                <w:color w:val="000000" w:themeColor="text1"/>
                <w:sz w:val="16"/>
                <w:szCs w:val="16"/>
              </w:rPr>
              <w:t>3,447</w:t>
            </w:r>
          </w:p>
        </w:tc>
        <w:tc>
          <w:tcPr>
            <w:tcW w:w="1035" w:type="dxa"/>
            <w:tcBorders>
              <w:top w:val="single" w:sz="4" w:space="0" w:color="auto"/>
              <w:bottom w:val="single" w:sz="4" w:space="0" w:color="auto"/>
            </w:tcBorders>
          </w:tcPr>
          <w:p w14:paraId="4E3B3050"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1,274</w:t>
            </w:r>
          </w:p>
        </w:tc>
        <w:tc>
          <w:tcPr>
            <w:tcW w:w="1141" w:type="dxa"/>
            <w:tcBorders>
              <w:top w:val="single" w:sz="4" w:space="0" w:color="auto"/>
              <w:bottom w:val="single" w:sz="4" w:space="0" w:color="auto"/>
            </w:tcBorders>
          </w:tcPr>
          <w:p w14:paraId="4FB94CF8" w14:textId="77777777" w:rsidR="00C91916" w:rsidRPr="00C91916" w:rsidRDefault="00C91916" w:rsidP="00C91916">
            <w:pPr>
              <w:jc w:val="right"/>
              <w:rPr>
                <w:rFonts w:ascii="Arial" w:hAnsi="Arial" w:cs="Arial"/>
                <w:sz w:val="16"/>
                <w:szCs w:val="16"/>
              </w:rPr>
            </w:pPr>
            <w:r w:rsidRPr="00C91916">
              <w:rPr>
                <w:rFonts w:ascii="Arial" w:hAnsi="Arial" w:cs="Arial"/>
                <w:sz w:val="16"/>
                <w:szCs w:val="16"/>
              </w:rPr>
              <w:t>(353)</w:t>
            </w:r>
          </w:p>
        </w:tc>
        <w:tc>
          <w:tcPr>
            <w:tcW w:w="898" w:type="dxa"/>
            <w:tcBorders>
              <w:top w:val="single" w:sz="4" w:space="0" w:color="auto"/>
              <w:bottom w:val="single" w:sz="4" w:space="0" w:color="auto"/>
            </w:tcBorders>
          </w:tcPr>
          <w:p w14:paraId="12CAB31E" w14:textId="77777777" w:rsidR="00C91916" w:rsidRPr="00C91916" w:rsidRDefault="00C91916" w:rsidP="00C91916">
            <w:pPr>
              <w:jc w:val="right"/>
              <w:rPr>
                <w:rFonts w:ascii="Arial" w:hAnsi="Arial" w:cs="Arial"/>
                <w:b/>
                <w:bCs/>
                <w:sz w:val="16"/>
                <w:szCs w:val="16"/>
              </w:rPr>
            </w:pPr>
            <w:r w:rsidRPr="00C91916">
              <w:rPr>
                <w:rFonts w:ascii="Arial" w:hAnsi="Arial" w:cs="Arial"/>
                <w:b/>
                <w:bCs/>
                <w:sz w:val="16"/>
                <w:szCs w:val="16"/>
              </w:rPr>
              <w:t>921</w:t>
            </w:r>
          </w:p>
        </w:tc>
      </w:tr>
    </w:tbl>
    <w:p w14:paraId="73BA7688" w14:textId="77777777" w:rsidR="00C91916" w:rsidRPr="00C91916" w:rsidRDefault="00C91916" w:rsidP="00C91916">
      <w:pPr>
        <w:widowControl w:val="0"/>
        <w:autoSpaceDE w:val="0"/>
        <w:autoSpaceDN w:val="0"/>
        <w:adjustRightInd w:val="0"/>
        <w:spacing w:after="0" w:line="240" w:lineRule="auto"/>
        <w:rPr>
          <w:rFonts w:ascii="Times New Roman" w:eastAsiaTheme="minorEastAsia" w:hAnsi="Times New Roman" w:cs="Times New Roman"/>
          <w:color w:val="FF0000"/>
          <w:sz w:val="24"/>
          <w:szCs w:val="24"/>
          <w:lang w:eastAsia="en-GB"/>
        </w:rPr>
      </w:pPr>
    </w:p>
    <w:p w14:paraId="1C913AA0" w14:textId="5B476805" w:rsidR="00887F65" w:rsidRPr="00D221CC" w:rsidRDefault="003E078D" w:rsidP="00B00FCE">
      <w:pPr>
        <w:pageBreakBefore/>
        <w:widowControl w:val="0"/>
        <w:tabs>
          <w:tab w:val="left" w:pos="0"/>
        </w:tabs>
        <w:autoSpaceDE w:val="0"/>
        <w:autoSpaceDN w:val="0"/>
        <w:adjustRightInd w:val="0"/>
        <w:spacing w:after="0" w:line="240" w:lineRule="auto"/>
        <w:ind w:right="941"/>
        <w:rPr>
          <w:rFonts w:eastAsia="Times New Roman" w:cstheme="minorHAnsi"/>
          <w:b/>
          <w:bCs/>
          <w:color w:val="000000"/>
          <w:lang w:eastAsia="en-GB"/>
        </w:rPr>
      </w:pPr>
      <w:r>
        <w:rPr>
          <w:rFonts w:eastAsia="Times New Roman" w:cstheme="minorHAnsi"/>
          <w:b/>
          <w:bCs/>
          <w:color w:val="000000"/>
          <w:lang w:eastAsia="en-GB"/>
        </w:rPr>
        <w:lastRenderedPageBreak/>
        <w:t>C</w:t>
      </w:r>
      <w:r w:rsidR="00887F65" w:rsidRPr="00D221CC">
        <w:rPr>
          <w:rFonts w:eastAsia="Times New Roman" w:cstheme="minorHAnsi"/>
          <w:b/>
          <w:bCs/>
          <w:color w:val="000000"/>
          <w:lang w:eastAsia="en-GB"/>
        </w:rPr>
        <w:t>ONSOLIDATED STATEMENT OF FINANCIAL POSITION</w:t>
      </w:r>
    </w:p>
    <w:p w14:paraId="0A82DF13" w14:textId="2FD4535C" w:rsidR="00887F65" w:rsidRDefault="00887F65" w:rsidP="00B00FCE">
      <w:pPr>
        <w:widowControl w:val="0"/>
        <w:tabs>
          <w:tab w:val="left" w:pos="941"/>
        </w:tabs>
        <w:autoSpaceDE w:val="0"/>
        <w:autoSpaceDN w:val="0"/>
        <w:adjustRightInd w:val="0"/>
        <w:spacing w:after="0" w:line="240" w:lineRule="auto"/>
        <w:ind w:right="941"/>
        <w:rPr>
          <w:rFonts w:eastAsia="Times New Roman" w:cstheme="minorHAnsi"/>
          <w:b/>
          <w:bCs/>
          <w:color w:val="000000"/>
          <w:lang w:eastAsia="en-GB"/>
        </w:rPr>
      </w:pPr>
      <w:r w:rsidRPr="00D221CC">
        <w:rPr>
          <w:rFonts w:eastAsia="Times New Roman" w:cstheme="minorHAnsi"/>
          <w:b/>
          <w:bCs/>
          <w:color w:val="000000"/>
          <w:lang w:eastAsia="en-GB"/>
        </w:rPr>
        <w:t>31 MAY 20</w:t>
      </w:r>
      <w:r w:rsidR="002D5CEA" w:rsidRPr="00D221CC">
        <w:rPr>
          <w:rFonts w:eastAsia="Times New Roman" w:cstheme="minorHAnsi"/>
          <w:b/>
          <w:bCs/>
          <w:color w:val="000000"/>
          <w:lang w:eastAsia="en-GB"/>
        </w:rPr>
        <w:t>2</w:t>
      </w:r>
      <w:r w:rsidR="00C0367C">
        <w:rPr>
          <w:rFonts w:eastAsia="Times New Roman" w:cstheme="minorHAnsi"/>
          <w:b/>
          <w:bCs/>
          <w:color w:val="000000"/>
          <w:lang w:eastAsia="en-GB"/>
        </w:rPr>
        <w:t>3</w:t>
      </w:r>
    </w:p>
    <w:tbl>
      <w:tblPr>
        <w:tblW w:w="9356" w:type="dxa"/>
        <w:tblLook w:val="04A0" w:firstRow="1" w:lastRow="0" w:firstColumn="1" w:lastColumn="0" w:noHBand="0" w:noVBand="1"/>
      </w:tblPr>
      <w:tblGrid>
        <w:gridCol w:w="4961"/>
        <w:gridCol w:w="339"/>
        <w:gridCol w:w="2076"/>
        <w:gridCol w:w="345"/>
        <w:gridCol w:w="1635"/>
      </w:tblGrid>
      <w:tr w:rsidR="00B00FCE" w:rsidRPr="00073D3D" w14:paraId="1F521F29" w14:textId="77777777" w:rsidTr="00B00FCE">
        <w:trPr>
          <w:trHeight w:val="300"/>
        </w:trPr>
        <w:tc>
          <w:tcPr>
            <w:tcW w:w="4961" w:type="dxa"/>
            <w:tcBorders>
              <w:top w:val="nil"/>
              <w:left w:val="nil"/>
              <w:bottom w:val="nil"/>
              <w:right w:val="nil"/>
            </w:tcBorders>
            <w:shd w:val="clear" w:color="000000" w:fill="FFFFFF"/>
            <w:noWrap/>
            <w:vAlign w:val="bottom"/>
            <w:hideMark/>
          </w:tcPr>
          <w:p w14:paraId="59B4924D" w14:textId="77777777" w:rsidR="00B00FCE" w:rsidRPr="00073D3D" w:rsidRDefault="00B00FCE" w:rsidP="00B00FCE">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 </w:t>
            </w:r>
          </w:p>
        </w:tc>
        <w:tc>
          <w:tcPr>
            <w:tcW w:w="339" w:type="dxa"/>
            <w:tcBorders>
              <w:top w:val="nil"/>
              <w:left w:val="nil"/>
              <w:bottom w:val="nil"/>
              <w:right w:val="nil"/>
            </w:tcBorders>
            <w:shd w:val="clear" w:color="000000" w:fill="FFFFFF"/>
            <w:noWrap/>
            <w:vAlign w:val="bottom"/>
            <w:hideMark/>
          </w:tcPr>
          <w:p w14:paraId="7F5D68DD" w14:textId="77777777" w:rsidR="00B00FCE" w:rsidRPr="00073D3D" w:rsidRDefault="00B00FCE" w:rsidP="00B00FCE">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 </w:t>
            </w:r>
          </w:p>
        </w:tc>
        <w:tc>
          <w:tcPr>
            <w:tcW w:w="2076" w:type="dxa"/>
            <w:tcBorders>
              <w:top w:val="nil"/>
              <w:left w:val="nil"/>
              <w:bottom w:val="nil"/>
              <w:right w:val="nil"/>
            </w:tcBorders>
            <w:shd w:val="clear" w:color="000000" w:fill="FFFFFF"/>
            <w:hideMark/>
          </w:tcPr>
          <w:p w14:paraId="3D8CDEC5" w14:textId="6E735AF7" w:rsidR="00B00FCE" w:rsidRPr="00073D3D" w:rsidRDefault="00B00FCE" w:rsidP="00B00FCE">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073D3D">
              <w:rPr>
                <w:rFonts w:eastAsia="Times New Roman" w:cstheme="minorHAnsi"/>
                <w:b/>
                <w:color w:val="000000"/>
                <w:sz w:val="16"/>
                <w:szCs w:val="16"/>
                <w:lang w:eastAsia="en-GB"/>
              </w:rPr>
              <w:t>20</w:t>
            </w:r>
            <w:r w:rsidR="002D5CEA" w:rsidRPr="00073D3D">
              <w:rPr>
                <w:rFonts w:eastAsia="Times New Roman" w:cstheme="minorHAnsi"/>
                <w:b/>
                <w:color w:val="000000"/>
                <w:sz w:val="16"/>
                <w:szCs w:val="16"/>
                <w:lang w:eastAsia="en-GB"/>
              </w:rPr>
              <w:t>2</w:t>
            </w:r>
            <w:r w:rsidR="003748F5">
              <w:rPr>
                <w:rFonts w:eastAsia="Times New Roman" w:cstheme="minorHAnsi"/>
                <w:b/>
                <w:color w:val="000000"/>
                <w:sz w:val="16"/>
                <w:szCs w:val="16"/>
                <w:lang w:eastAsia="en-GB"/>
              </w:rPr>
              <w:t>3</w:t>
            </w:r>
          </w:p>
        </w:tc>
        <w:tc>
          <w:tcPr>
            <w:tcW w:w="345" w:type="dxa"/>
            <w:tcBorders>
              <w:top w:val="nil"/>
              <w:left w:val="nil"/>
              <w:bottom w:val="nil"/>
              <w:right w:val="nil"/>
            </w:tcBorders>
            <w:shd w:val="clear" w:color="000000" w:fill="FFFFFF"/>
            <w:noWrap/>
            <w:hideMark/>
          </w:tcPr>
          <w:p w14:paraId="604B0867" w14:textId="77777777" w:rsidR="00B00FCE" w:rsidRPr="00073D3D" w:rsidRDefault="00B00FCE" w:rsidP="00B00FCE">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r w:rsidRPr="00073D3D">
              <w:rPr>
                <w:rFonts w:eastAsia="Times New Roman" w:cstheme="minorHAnsi"/>
                <w:color w:val="FF0000"/>
                <w:sz w:val="16"/>
                <w:szCs w:val="16"/>
                <w:lang w:eastAsia="en-GB"/>
              </w:rPr>
              <w:t> </w:t>
            </w:r>
          </w:p>
        </w:tc>
        <w:tc>
          <w:tcPr>
            <w:tcW w:w="1635" w:type="dxa"/>
            <w:tcBorders>
              <w:top w:val="nil"/>
              <w:left w:val="nil"/>
              <w:bottom w:val="nil"/>
              <w:right w:val="nil"/>
            </w:tcBorders>
            <w:shd w:val="clear" w:color="000000" w:fill="FFFFFF"/>
          </w:tcPr>
          <w:p w14:paraId="73897A48" w14:textId="70F9A1C2" w:rsidR="00B00FCE" w:rsidRPr="00073D3D" w:rsidRDefault="00B00FCE" w:rsidP="00B00FCE">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20</w:t>
            </w:r>
            <w:r w:rsidR="00412E88" w:rsidRPr="00073D3D">
              <w:rPr>
                <w:rFonts w:eastAsia="Times New Roman" w:cstheme="minorHAnsi"/>
                <w:bCs/>
                <w:color w:val="000000"/>
                <w:sz w:val="16"/>
                <w:szCs w:val="16"/>
                <w:lang w:eastAsia="en-GB"/>
              </w:rPr>
              <w:t>2</w:t>
            </w:r>
            <w:r w:rsidR="003748F5">
              <w:rPr>
                <w:rFonts w:eastAsia="Times New Roman" w:cstheme="minorHAnsi"/>
                <w:bCs/>
                <w:color w:val="000000"/>
                <w:sz w:val="16"/>
                <w:szCs w:val="16"/>
                <w:lang w:eastAsia="en-GB"/>
              </w:rPr>
              <w:t>2</w:t>
            </w:r>
          </w:p>
        </w:tc>
      </w:tr>
      <w:tr w:rsidR="00B00FCE" w:rsidRPr="00073D3D" w14:paraId="1177B2B1" w14:textId="77777777" w:rsidTr="00B00FCE">
        <w:trPr>
          <w:trHeight w:val="300"/>
        </w:trPr>
        <w:tc>
          <w:tcPr>
            <w:tcW w:w="4961" w:type="dxa"/>
            <w:tcBorders>
              <w:top w:val="nil"/>
              <w:left w:val="nil"/>
              <w:bottom w:val="nil"/>
              <w:right w:val="nil"/>
            </w:tcBorders>
            <w:shd w:val="clear" w:color="000000" w:fill="FFFFFF"/>
            <w:noWrap/>
            <w:vAlign w:val="bottom"/>
            <w:hideMark/>
          </w:tcPr>
          <w:p w14:paraId="2C821EBE" w14:textId="77777777" w:rsidR="00B00FCE" w:rsidRPr="00073D3D" w:rsidRDefault="00B00FCE" w:rsidP="00B00FCE">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 </w:t>
            </w:r>
          </w:p>
        </w:tc>
        <w:tc>
          <w:tcPr>
            <w:tcW w:w="339" w:type="dxa"/>
            <w:tcBorders>
              <w:top w:val="nil"/>
              <w:left w:val="nil"/>
              <w:bottom w:val="nil"/>
              <w:right w:val="nil"/>
            </w:tcBorders>
            <w:shd w:val="clear" w:color="000000" w:fill="FFFFFF"/>
            <w:noWrap/>
            <w:vAlign w:val="bottom"/>
            <w:hideMark/>
          </w:tcPr>
          <w:p w14:paraId="16E2375E" w14:textId="77777777" w:rsidR="00B00FCE" w:rsidRPr="00073D3D" w:rsidRDefault="00B00FCE" w:rsidP="00B00FCE">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 </w:t>
            </w:r>
          </w:p>
        </w:tc>
        <w:tc>
          <w:tcPr>
            <w:tcW w:w="2076" w:type="dxa"/>
            <w:tcBorders>
              <w:top w:val="nil"/>
              <w:left w:val="nil"/>
              <w:bottom w:val="nil"/>
              <w:right w:val="nil"/>
            </w:tcBorders>
            <w:shd w:val="clear" w:color="000000" w:fill="FFFFFF"/>
            <w:hideMark/>
          </w:tcPr>
          <w:p w14:paraId="7F72CA8A" w14:textId="77777777" w:rsidR="00B00FCE" w:rsidRPr="00073D3D" w:rsidRDefault="00B00FCE" w:rsidP="00B00FCE">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073D3D">
              <w:rPr>
                <w:rFonts w:eastAsia="Times New Roman" w:cstheme="minorHAnsi"/>
                <w:b/>
                <w:color w:val="000000"/>
                <w:sz w:val="16"/>
                <w:szCs w:val="16"/>
                <w:lang w:eastAsia="en-GB"/>
              </w:rPr>
              <w:t>£’000</w:t>
            </w:r>
          </w:p>
        </w:tc>
        <w:tc>
          <w:tcPr>
            <w:tcW w:w="345" w:type="dxa"/>
            <w:tcBorders>
              <w:top w:val="nil"/>
              <w:left w:val="nil"/>
              <w:bottom w:val="nil"/>
              <w:right w:val="nil"/>
            </w:tcBorders>
            <w:shd w:val="clear" w:color="000000" w:fill="FFFFFF"/>
            <w:noWrap/>
            <w:hideMark/>
          </w:tcPr>
          <w:p w14:paraId="71D11594" w14:textId="77777777" w:rsidR="00B00FCE" w:rsidRPr="00073D3D" w:rsidRDefault="00B00FCE" w:rsidP="00B00FCE">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r w:rsidRPr="00073D3D">
              <w:rPr>
                <w:rFonts w:eastAsia="Times New Roman" w:cstheme="minorHAnsi"/>
                <w:color w:val="FF0000"/>
                <w:sz w:val="16"/>
                <w:szCs w:val="16"/>
                <w:lang w:eastAsia="en-GB"/>
              </w:rPr>
              <w:t> </w:t>
            </w:r>
          </w:p>
        </w:tc>
        <w:tc>
          <w:tcPr>
            <w:tcW w:w="1635" w:type="dxa"/>
            <w:tcBorders>
              <w:top w:val="nil"/>
              <w:left w:val="nil"/>
              <w:bottom w:val="nil"/>
              <w:right w:val="nil"/>
            </w:tcBorders>
            <w:shd w:val="clear" w:color="000000" w:fill="FFFFFF"/>
          </w:tcPr>
          <w:p w14:paraId="32FDB25D" w14:textId="556AE160" w:rsidR="00B00FCE" w:rsidRPr="00073D3D" w:rsidRDefault="00B00FCE" w:rsidP="00B00FCE">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£’000</w:t>
            </w:r>
          </w:p>
        </w:tc>
      </w:tr>
      <w:tr w:rsidR="00B00FCE" w:rsidRPr="00073D3D" w14:paraId="382BE016" w14:textId="77777777" w:rsidTr="00B00FCE">
        <w:trPr>
          <w:trHeight w:val="300"/>
        </w:trPr>
        <w:tc>
          <w:tcPr>
            <w:tcW w:w="4961" w:type="dxa"/>
            <w:tcBorders>
              <w:top w:val="nil"/>
              <w:left w:val="nil"/>
              <w:bottom w:val="nil"/>
              <w:right w:val="nil"/>
            </w:tcBorders>
            <w:shd w:val="clear" w:color="000000" w:fill="FFFFFF"/>
            <w:noWrap/>
            <w:vAlign w:val="bottom"/>
          </w:tcPr>
          <w:p w14:paraId="380EF550" w14:textId="77777777" w:rsidR="00B00FCE" w:rsidRPr="00073D3D" w:rsidRDefault="00B00FCE" w:rsidP="00B00FCE">
            <w:pPr>
              <w:keepLines/>
              <w:widowControl w:val="0"/>
              <w:autoSpaceDE w:val="0"/>
              <w:autoSpaceDN w:val="0"/>
              <w:adjustRightInd w:val="0"/>
              <w:spacing w:after="0" w:line="240" w:lineRule="auto"/>
              <w:rPr>
                <w:rFonts w:eastAsia="Times New Roman" w:cstheme="minorHAnsi"/>
                <w:b/>
                <w:bCs/>
                <w:color w:val="000000"/>
                <w:sz w:val="16"/>
                <w:szCs w:val="16"/>
                <w:lang w:eastAsia="en-GB"/>
              </w:rPr>
            </w:pPr>
            <w:r w:rsidRPr="00073D3D">
              <w:rPr>
                <w:rFonts w:eastAsia="Times New Roman" w:cstheme="minorHAnsi"/>
                <w:b/>
                <w:bCs/>
                <w:color w:val="000000"/>
                <w:sz w:val="16"/>
                <w:szCs w:val="16"/>
                <w:lang w:eastAsia="en-GB"/>
              </w:rPr>
              <w:t>ASSETS</w:t>
            </w:r>
          </w:p>
        </w:tc>
        <w:tc>
          <w:tcPr>
            <w:tcW w:w="339" w:type="dxa"/>
            <w:tcBorders>
              <w:top w:val="nil"/>
              <w:left w:val="nil"/>
              <w:bottom w:val="nil"/>
              <w:right w:val="nil"/>
            </w:tcBorders>
            <w:shd w:val="clear" w:color="000000" w:fill="FFFFFF"/>
            <w:noWrap/>
            <w:vAlign w:val="bottom"/>
          </w:tcPr>
          <w:p w14:paraId="30E5BCB4" w14:textId="77777777" w:rsidR="00B00FCE" w:rsidRPr="00073D3D" w:rsidRDefault="00B00FCE" w:rsidP="00B00FCE">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nil"/>
              <w:left w:val="nil"/>
              <w:bottom w:val="nil"/>
              <w:right w:val="nil"/>
            </w:tcBorders>
            <w:shd w:val="clear" w:color="000000" w:fill="FFFFFF"/>
            <w:noWrap/>
            <w:vAlign w:val="bottom"/>
          </w:tcPr>
          <w:p w14:paraId="78851988" w14:textId="77777777" w:rsidR="00B00FCE" w:rsidRPr="00073D3D" w:rsidRDefault="00B00FCE" w:rsidP="00B00FCE">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345" w:type="dxa"/>
            <w:tcBorders>
              <w:top w:val="nil"/>
              <w:left w:val="nil"/>
              <w:bottom w:val="nil"/>
              <w:right w:val="nil"/>
            </w:tcBorders>
            <w:shd w:val="clear" w:color="000000" w:fill="FFFFFF"/>
            <w:noWrap/>
            <w:vAlign w:val="bottom"/>
          </w:tcPr>
          <w:p w14:paraId="253175F0" w14:textId="77777777" w:rsidR="00B00FCE" w:rsidRPr="00073D3D" w:rsidRDefault="00B00FCE" w:rsidP="00B00FCE">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nil"/>
              <w:left w:val="nil"/>
              <w:bottom w:val="nil"/>
              <w:right w:val="nil"/>
            </w:tcBorders>
            <w:shd w:val="clear" w:color="000000" w:fill="FFFFFF"/>
            <w:vAlign w:val="bottom"/>
          </w:tcPr>
          <w:p w14:paraId="119B4F70" w14:textId="77777777" w:rsidR="00B00FCE" w:rsidRPr="00073D3D" w:rsidRDefault="00B00FCE" w:rsidP="00B00FCE">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p>
        </w:tc>
      </w:tr>
      <w:tr w:rsidR="00B00FCE" w:rsidRPr="00073D3D" w14:paraId="686431E7" w14:textId="77777777" w:rsidTr="00B00FCE">
        <w:trPr>
          <w:trHeight w:val="300"/>
        </w:trPr>
        <w:tc>
          <w:tcPr>
            <w:tcW w:w="4961" w:type="dxa"/>
            <w:tcBorders>
              <w:top w:val="nil"/>
              <w:left w:val="nil"/>
              <w:bottom w:val="nil"/>
              <w:right w:val="nil"/>
            </w:tcBorders>
            <w:shd w:val="clear" w:color="000000" w:fill="FFFFFF"/>
            <w:noWrap/>
            <w:vAlign w:val="bottom"/>
            <w:hideMark/>
          </w:tcPr>
          <w:p w14:paraId="06406EC2" w14:textId="77777777" w:rsidR="00B00FCE" w:rsidRPr="00073D3D" w:rsidRDefault="00B00FCE" w:rsidP="00B00FCE">
            <w:pPr>
              <w:keepLines/>
              <w:widowControl w:val="0"/>
              <w:autoSpaceDE w:val="0"/>
              <w:autoSpaceDN w:val="0"/>
              <w:adjustRightInd w:val="0"/>
              <w:spacing w:after="0" w:line="240" w:lineRule="auto"/>
              <w:rPr>
                <w:rFonts w:eastAsia="Times New Roman" w:cstheme="minorHAnsi"/>
                <w:b/>
                <w:bCs/>
                <w:color w:val="000000"/>
                <w:sz w:val="16"/>
                <w:szCs w:val="16"/>
                <w:lang w:eastAsia="en-GB"/>
              </w:rPr>
            </w:pPr>
            <w:r w:rsidRPr="00073D3D">
              <w:rPr>
                <w:rFonts w:eastAsia="Times New Roman" w:cstheme="minorHAnsi"/>
                <w:b/>
                <w:bCs/>
                <w:color w:val="000000"/>
                <w:sz w:val="16"/>
                <w:szCs w:val="16"/>
                <w:lang w:eastAsia="en-GB"/>
              </w:rPr>
              <w:t>NON-CURRENT ASSETS</w:t>
            </w:r>
          </w:p>
        </w:tc>
        <w:tc>
          <w:tcPr>
            <w:tcW w:w="339" w:type="dxa"/>
            <w:tcBorders>
              <w:top w:val="nil"/>
              <w:left w:val="nil"/>
              <w:bottom w:val="nil"/>
              <w:right w:val="nil"/>
            </w:tcBorders>
            <w:shd w:val="clear" w:color="000000" w:fill="FFFFFF"/>
            <w:noWrap/>
            <w:vAlign w:val="bottom"/>
            <w:hideMark/>
          </w:tcPr>
          <w:p w14:paraId="70E5B5E1" w14:textId="77777777" w:rsidR="00B00FCE" w:rsidRPr="00073D3D" w:rsidRDefault="00B00FCE" w:rsidP="00B00FCE">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 </w:t>
            </w:r>
          </w:p>
        </w:tc>
        <w:tc>
          <w:tcPr>
            <w:tcW w:w="2076" w:type="dxa"/>
            <w:tcBorders>
              <w:top w:val="nil"/>
              <w:left w:val="nil"/>
              <w:bottom w:val="nil"/>
              <w:right w:val="nil"/>
            </w:tcBorders>
            <w:shd w:val="clear" w:color="000000" w:fill="FFFFFF"/>
            <w:noWrap/>
            <w:vAlign w:val="bottom"/>
            <w:hideMark/>
          </w:tcPr>
          <w:p w14:paraId="377F7BCA" w14:textId="77777777" w:rsidR="00B00FCE" w:rsidRPr="00073D3D" w:rsidRDefault="00B00FCE" w:rsidP="00B00FCE">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r w:rsidRPr="00073D3D">
              <w:rPr>
                <w:rFonts w:eastAsia="Times New Roman" w:cstheme="minorHAnsi"/>
                <w:color w:val="000000"/>
                <w:sz w:val="16"/>
                <w:szCs w:val="16"/>
                <w:lang w:eastAsia="en-GB"/>
              </w:rPr>
              <w:t> </w:t>
            </w:r>
          </w:p>
        </w:tc>
        <w:tc>
          <w:tcPr>
            <w:tcW w:w="345" w:type="dxa"/>
            <w:tcBorders>
              <w:top w:val="nil"/>
              <w:left w:val="nil"/>
              <w:bottom w:val="nil"/>
              <w:right w:val="nil"/>
            </w:tcBorders>
            <w:shd w:val="clear" w:color="000000" w:fill="FFFFFF"/>
            <w:noWrap/>
            <w:vAlign w:val="bottom"/>
            <w:hideMark/>
          </w:tcPr>
          <w:p w14:paraId="30BCC262" w14:textId="77777777" w:rsidR="00B00FCE" w:rsidRPr="00073D3D" w:rsidRDefault="00B00FCE" w:rsidP="00B00FCE">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r w:rsidRPr="00073D3D">
              <w:rPr>
                <w:rFonts w:eastAsia="Times New Roman" w:cstheme="minorHAnsi"/>
                <w:color w:val="FF0000"/>
                <w:sz w:val="16"/>
                <w:szCs w:val="16"/>
                <w:lang w:eastAsia="en-GB"/>
              </w:rPr>
              <w:t> </w:t>
            </w:r>
          </w:p>
        </w:tc>
        <w:tc>
          <w:tcPr>
            <w:tcW w:w="1635" w:type="dxa"/>
            <w:tcBorders>
              <w:top w:val="nil"/>
              <w:left w:val="nil"/>
              <w:bottom w:val="nil"/>
              <w:right w:val="nil"/>
            </w:tcBorders>
            <w:shd w:val="clear" w:color="000000" w:fill="FFFFFF"/>
            <w:vAlign w:val="bottom"/>
          </w:tcPr>
          <w:p w14:paraId="4394A2FF" w14:textId="0054F4A0" w:rsidR="00B00FCE" w:rsidRPr="00073D3D" w:rsidRDefault="00B00FCE" w:rsidP="00B00FCE">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 </w:t>
            </w:r>
          </w:p>
        </w:tc>
      </w:tr>
      <w:tr w:rsidR="00692A81" w:rsidRPr="00073D3D" w14:paraId="7243BA5D" w14:textId="77777777" w:rsidTr="00B00FCE">
        <w:trPr>
          <w:trHeight w:val="284"/>
        </w:trPr>
        <w:tc>
          <w:tcPr>
            <w:tcW w:w="4961" w:type="dxa"/>
            <w:tcBorders>
              <w:top w:val="nil"/>
              <w:left w:val="nil"/>
              <w:bottom w:val="nil"/>
              <w:right w:val="nil"/>
            </w:tcBorders>
            <w:shd w:val="clear" w:color="000000" w:fill="FFFFFF"/>
            <w:noWrap/>
            <w:vAlign w:val="bottom"/>
          </w:tcPr>
          <w:p w14:paraId="66DB4AAD"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Goodwill</w:t>
            </w:r>
          </w:p>
        </w:tc>
        <w:tc>
          <w:tcPr>
            <w:tcW w:w="339" w:type="dxa"/>
            <w:tcBorders>
              <w:top w:val="nil"/>
              <w:left w:val="nil"/>
              <w:bottom w:val="nil"/>
              <w:right w:val="nil"/>
            </w:tcBorders>
            <w:shd w:val="clear" w:color="000000" w:fill="FFFFFF"/>
            <w:noWrap/>
            <w:vAlign w:val="bottom"/>
          </w:tcPr>
          <w:p w14:paraId="05CCADEF"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nil"/>
              <w:left w:val="nil"/>
              <w:right w:val="nil"/>
            </w:tcBorders>
            <w:shd w:val="clear" w:color="000000" w:fill="FFFFFF"/>
            <w:noWrap/>
            <w:vAlign w:val="bottom"/>
          </w:tcPr>
          <w:p w14:paraId="1839708F" w14:textId="51C1591E"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073D3D">
              <w:rPr>
                <w:rFonts w:eastAsia="Times New Roman" w:cstheme="minorHAnsi"/>
                <w:b/>
                <w:color w:val="000000"/>
                <w:sz w:val="16"/>
                <w:szCs w:val="16"/>
                <w:lang w:eastAsia="en-GB"/>
              </w:rPr>
              <w:t>27,263</w:t>
            </w:r>
          </w:p>
        </w:tc>
        <w:tc>
          <w:tcPr>
            <w:tcW w:w="345" w:type="dxa"/>
            <w:tcBorders>
              <w:top w:val="nil"/>
              <w:left w:val="nil"/>
              <w:right w:val="nil"/>
            </w:tcBorders>
            <w:shd w:val="clear" w:color="000000" w:fill="FFFFFF"/>
            <w:noWrap/>
            <w:vAlign w:val="bottom"/>
          </w:tcPr>
          <w:p w14:paraId="6E9FE368"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nil"/>
              <w:left w:val="nil"/>
              <w:right w:val="nil"/>
            </w:tcBorders>
            <w:shd w:val="clear" w:color="000000" w:fill="FFFFFF"/>
            <w:vAlign w:val="bottom"/>
          </w:tcPr>
          <w:p w14:paraId="3BC34BB3" w14:textId="45AEEAFE"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2</w:t>
            </w:r>
            <w:r w:rsidR="003748F5">
              <w:rPr>
                <w:rFonts w:eastAsia="Times New Roman" w:cstheme="minorHAnsi"/>
                <w:bCs/>
                <w:color w:val="000000"/>
                <w:sz w:val="16"/>
                <w:szCs w:val="16"/>
                <w:lang w:eastAsia="en-GB"/>
              </w:rPr>
              <w:t>7,263</w:t>
            </w:r>
          </w:p>
        </w:tc>
      </w:tr>
      <w:tr w:rsidR="00692A81" w:rsidRPr="00073D3D" w14:paraId="1235E449" w14:textId="77777777" w:rsidTr="00B00FCE">
        <w:trPr>
          <w:trHeight w:val="284"/>
        </w:trPr>
        <w:tc>
          <w:tcPr>
            <w:tcW w:w="4961" w:type="dxa"/>
            <w:tcBorders>
              <w:top w:val="nil"/>
              <w:left w:val="nil"/>
              <w:bottom w:val="nil"/>
              <w:right w:val="nil"/>
            </w:tcBorders>
            <w:shd w:val="clear" w:color="000000" w:fill="FFFFFF"/>
            <w:noWrap/>
            <w:vAlign w:val="bottom"/>
          </w:tcPr>
          <w:p w14:paraId="2B516B23"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b/>
                <w:bCs/>
                <w:color w:val="000000"/>
                <w:sz w:val="16"/>
                <w:szCs w:val="16"/>
                <w:lang w:eastAsia="en-GB"/>
              </w:rPr>
            </w:pPr>
            <w:r w:rsidRPr="00073D3D">
              <w:rPr>
                <w:rFonts w:eastAsia="Times New Roman" w:cstheme="minorHAnsi"/>
                <w:bCs/>
                <w:color w:val="000000"/>
                <w:sz w:val="16"/>
                <w:szCs w:val="16"/>
                <w:lang w:eastAsia="en-GB"/>
              </w:rPr>
              <w:t>Intangible assets</w:t>
            </w:r>
          </w:p>
        </w:tc>
        <w:tc>
          <w:tcPr>
            <w:tcW w:w="339" w:type="dxa"/>
            <w:tcBorders>
              <w:top w:val="nil"/>
              <w:left w:val="nil"/>
              <w:bottom w:val="nil"/>
              <w:right w:val="nil"/>
            </w:tcBorders>
            <w:shd w:val="clear" w:color="000000" w:fill="FFFFFF"/>
            <w:noWrap/>
            <w:vAlign w:val="bottom"/>
          </w:tcPr>
          <w:p w14:paraId="6D87E02C"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nil"/>
              <w:left w:val="nil"/>
              <w:right w:val="nil"/>
            </w:tcBorders>
            <w:shd w:val="clear" w:color="000000" w:fill="FFFFFF"/>
            <w:noWrap/>
            <w:vAlign w:val="bottom"/>
          </w:tcPr>
          <w:p w14:paraId="10AFFC9C" w14:textId="6A601482"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073D3D">
              <w:rPr>
                <w:rFonts w:eastAsia="Times New Roman" w:cstheme="minorHAnsi"/>
                <w:b/>
                <w:color w:val="000000"/>
                <w:sz w:val="16"/>
                <w:szCs w:val="16"/>
                <w:lang w:eastAsia="en-GB"/>
              </w:rPr>
              <w:t>2</w:t>
            </w:r>
            <w:r w:rsidR="00CB31FC">
              <w:rPr>
                <w:rFonts w:eastAsia="Times New Roman" w:cstheme="minorHAnsi"/>
                <w:b/>
                <w:color w:val="000000"/>
                <w:sz w:val="16"/>
                <w:szCs w:val="16"/>
                <w:lang w:eastAsia="en-GB"/>
              </w:rPr>
              <w:t>31</w:t>
            </w:r>
          </w:p>
        </w:tc>
        <w:tc>
          <w:tcPr>
            <w:tcW w:w="345" w:type="dxa"/>
            <w:tcBorders>
              <w:top w:val="nil"/>
              <w:left w:val="nil"/>
              <w:right w:val="nil"/>
            </w:tcBorders>
            <w:shd w:val="clear" w:color="000000" w:fill="FFFFFF"/>
            <w:noWrap/>
            <w:vAlign w:val="bottom"/>
          </w:tcPr>
          <w:p w14:paraId="4A7AB3A1"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nil"/>
              <w:left w:val="nil"/>
              <w:right w:val="nil"/>
            </w:tcBorders>
            <w:shd w:val="clear" w:color="000000" w:fill="FFFFFF"/>
            <w:vAlign w:val="bottom"/>
          </w:tcPr>
          <w:p w14:paraId="68AF9988" w14:textId="2FB7C717" w:rsidR="00692A81" w:rsidRPr="00073D3D" w:rsidRDefault="003748F5"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298</w:t>
            </w:r>
          </w:p>
        </w:tc>
      </w:tr>
      <w:tr w:rsidR="00692A81" w:rsidRPr="00073D3D" w14:paraId="41D8EFC2" w14:textId="77777777" w:rsidTr="00B00FCE">
        <w:trPr>
          <w:trHeight w:val="284"/>
        </w:trPr>
        <w:tc>
          <w:tcPr>
            <w:tcW w:w="4961" w:type="dxa"/>
            <w:tcBorders>
              <w:top w:val="nil"/>
              <w:left w:val="nil"/>
              <w:bottom w:val="nil"/>
              <w:right w:val="nil"/>
            </w:tcBorders>
            <w:shd w:val="clear" w:color="000000" w:fill="FFFFFF"/>
            <w:noWrap/>
            <w:vAlign w:val="bottom"/>
          </w:tcPr>
          <w:p w14:paraId="38838110"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Property, plant and equipment</w:t>
            </w:r>
          </w:p>
        </w:tc>
        <w:tc>
          <w:tcPr>
            <w:tcW w:w="339" w:type="dxa"/>
            <w:tcBorders>
              <w:top w:val="nil"/>
              <w:left w:val="nil"/>
              <w:bottom w:val="nil"/>
              <w:right w:val="nil"/>
            </w:tcBorders>
            <w:shd w:val="clear" w:color="000000" w:fill="FFFFFF"/>
            <w:noWrap/>
            <w:vAlign w:val="bottom"/>
          </w:tcPr>
          <w:p w14:paraId="27FB13A9"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nil"/>
              <w:left w:val="nil"/>
              <w:right w:val="nil"/>
            </w:tcBorders>
            <w:shd w:val="clear" w:color="000000" w:fill="FFFFFF"/>
            <w:noWrap/>
            <w:vAlign w:val="bottom"/>
          </w:tcPr>
          <w:p w14:paraId="662E13DB" w14:textId="44E641E7" w:rsidR="00692A81" w:rsidRPr="00073D3D" w:rsidRDefault="00D8639A"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238</w:t>
            </w:r>
          </w:p>
        </w:tc>
        <w:tc>
          <w:tcPr>
            <w:tcW w:w="345" w:type="dxa"/>
            <w:tcBorders>
              <w:top w:val="nil"/>
              <w:left w:val="nil"/>
              <w:right w:val="nil"/>
            </w:tcBorders>
            <w:shd w:val="clear" w:color="000000" w:fill="FFFFFF"/>
            <w:noWrap/>
            <w:vAlign w:val="bottom"/>
          </w:tcPr>
          <w:p w14:paraId="10BCB41E"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nil"/>
              <w:left w:val="nil"/>
              <w:right w:val="nil"/>
            </w:tcBorders>
            <w:shd w:val="clear" w:color="000000" w:fill="FFFFFF"/>
            <w:vAlign w:val="bottom"/>
          </w:tcPr>
          <w:p w14:paraId="62208E29" w14:textId="4423C77B" w:rsidR="00692A81" w:rsidRPr="00073D3D" w:rsidRDefault="003748F5"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320</w:t>
            </w:r>
          </w:p>
        </w:tc>
      </w:tr>
      <w:tr w:rsidR="00692A81" w:rsidRPr="00073D3D" w14:paraId="416E198B" w14:textId="77777777" w:rsidTr="00B00FCE">
        <w:trPr>
          <w:trHeight w:val="284"/>
        </w:trPr>
        <w:tc>
          <w:tcPr>
            <w:tcW w:w="4961" w:type="dxa"/>
            <w:tcBorders>
              <w:top w:val="nil"/>
              <w:left w:val="nil"/>
              <w:bottom w:val="nil"/>
              <w:right w:val="nil"/>
            </w:tcBorders>
            <w:shd w:val="clear" w:color="000000" w:fill="FFFFFF"/>
            <w:noWrap/>
            <w:vAlign w:val="bottom"/>
          </w:tcPr>
          <w:p w14:paraId="5AACAEB7" w14:textId="40FEEF88" w:rsidR="00692A81" w:rsidRPr="00073D3D" w:rsidRDefault="00692A81" w:rsidP="00692A81">
            <w:pPr>
              <w:keepLines/>
              <w:widowControl w:val="0"/>
              <w:autoSpaceDE w:val="0"/>
              <w:autoSpaceDN w:val="0"/>
              <w:adjustRightInd w:val="0"/>
              <w:spacing w:after="0" w:line="240" w:lineRule="auto"/>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Right-of-use property, plant &amp; equipment</w:t>
            </w:r>
          </w:p>
        </w:tc>
        <w:tc>
          <w:tcPr>
            <w:tcW w:w="339" w:type="dxa"/>
            <w:tcBorders>
              <w:top w:val="nil"/>
              <w:left w:val="nil"/>
              <w:bottom w:val="nil"/>
              <w:right w:val="nil"/>
            </w:tcBorders>
            <w:shd w:val="clear" w:color="000000" w:fill="FFFFFF"/>
            <w:noWrap/>
            <w:vAlign w:val="bottom"/>
          </w:tcPr>
          <w:p w14:paraId="2DB779B3"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nil"/>
              <w:left w:val="nil"/>
              <w:right w:val="nil"/>
            </w:tcBorders>
            <w:shd w:val="clear" w:color="000000" w:fill="FFFFFF"/>
            <w:noWrap/>
            <w:vAlign w:val="bottom"/>
          </w:tcPr>
          <w:p w14:paraId="72C48BFC" w14:textId="33E036A8" w:rsidR="00692A81" w:rsidRPr="00073D3D" w:rsidRDefault="00D8639A"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573</w:t>
            </w:r>
          </w:p>
        </w:tc>
        <w:tc>
          <w:tcPr>
            <w:tcW w:w="345" w:type="dxa"/>
            <w:tcBorders>
              <w:top w:val="nil"/>
              <w:left w:val="nil"/>
              <w:right w:val="nil"/>
            </w:tcBorders>
            <w:shd w:val="clear" w:color="000000" w:fill="FFFFFF"/>
            <w:noWrap/>
            <w:vAlign w:val="bottom"/>
          </w:tcPr>
          <w:p w14:paraId="793B3915"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nil"/>
              <w:left w:val="nil"/>
              <w:right w:val="nil"/>
            </w:tcBorders>
            <w:shd w:val="clear" w:color="000000" w:fill="FFFFFF"/>
            <w:vAlign w:val="bottom"/>
          </w:tcPr>
          <w:p w14:paraId="7009C241" w14:textId="470195AD" w:rsidR="00692A81" w:rsidRPr="00073D3D" w:rsidRDefault="003748F5"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30</w:t>
            </w:r>
          </w:p>
        </w:tc>
      </w:tr>
      <w:tr w:rsidR="00692A81" w:rsidRPr="00073D3D" w14:paraId="22EAEE9A" w14:textId="77777777" w:rsidTr="00B00FCE">
        <w:trPr>
          <w:trHeight w:val="284"/>
        </w:trPr>
        <w:tc>
          <w:tcPr>
            <w:tcW w:w="4961" w:type="dxa"/>
            <w:tcBorders>
              <w:top w:val="nil"/>
              <w:left w:val="nil"/>
              <w:bottom w:val="nil"/>
              <w:right w:val="nil"/>
            </w:tcBorders>
            <w:shd w:val="clear" w:color="000000" w:fill="FFFFFF"/>
            <w:noWrap/>
            <w:vAlign w:val="bottom"/>
          </w:tcPr>
          <w:p w14:paraId="3A72C2D6"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Trade and other receivables</w:t>
            </w:r>
          </w:p>
        </w:tc>
        <w:tc>
          <w:tcPr>
            <w:tcW w:w="339" w:type="dxa"/>
            <w:tcBorders>
              <w:top w:val="nil"/>
              <w:left w:val="nil"/>
              <w:bottom w:val="nil"/>
              <w:right w:val="nil"/>
            </w:tcBorders>
            <w:shd w:val="clear" w:color="000000" w:fill="FFFFFF"/>
            <w:noWrap/>
            <w:vAlign w:val="bottom"/>
          </w:tcPr>
          <w:p w14:paraId="5FA97205"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nil"/>
              <w:left w:val="nil"/>
              <w:right w:val="nil"/>
            </w:tcBorders>
            <w:shd w:val="clear" w:color="000000" w:fill="FFFFFF"/>
            <w:noWrap/>
            <w:vAlign w:val="bottom"/>
          </w:tcPr>
          <w:p w14:paraId="02880156" w14:textId="27789AC4"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073D3D">
              <w:rPr>
                <w:rFonts w:eastAsia="Times New Roman" w:cstheme="minorHAnsi"/>
                <w:b/>
                <w:color w:val="000000"/>
                <w:sz w:val="16"/>
                <w:szCs w:val="16"/>
                <w:lang w:eastAsia="en-GB"/>
              </w:rPr>
              <w:t>5</w:t>
            </w:r>
            <w:r w:rsidR="00D8639A">
              <w:rPr>
                <w:rFonts w:eastAsia="Times New Roman" w:cstheme="minorHAnsi"/>
                <w:b/>
                <w:color w:val="000000"/>
                <w:sz w:val="16"/>
                <w:szCs w:val="16"/>
                <w:lang w:eastAsia="en-GB"/>
              </w:rPr>
              <w:t>8,530</w:t>
            </w:r>
          </w:p>
        </w:tc>
        <w:tc>
          <w:tcPr>
            <w:tcW w:w="345" w:type="dxa"/>
            <w:tcBorders>
              <w:top w:val="nil"/>
              <w:left w:val="nil"/>
              <w:right w:val="nil"/>
            </w:tcBorders>
            <w:shd w:val="clear" w:color="000000" w:fill="FFFFFF"/>
            <w:noWrap/>
            <w:vAlign w:val="bottom"/>
          </w:tcPr>
          <w:p w14:paraId="36A7F9B7"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nil"/>
              <w:left w:val="nil"/>
              <w:right w:val="nil"/>
            </w:tcBorders>
            <w:shd w:val="clear" w:color="000000" w:fill="FFFFFF"/>
            <w:vAlign w:val="bottom"/>
          </w:tcPr>
          <w:p w14:paraId="4B172BB9" w14:textId="1127483F" w:rsidR="00692A81" w:rsidRPr="00073D3D" w:rsidRDefault="003748F5"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50,344</w:t>
            </w:r>
          </w:p>
        </w:tc>
      </w:tr>
      <w:tr w:rsidR="00692A81" w:rsidRPr="00073D3D" w14:paraId="3D308A63" w14:textId="77777777" w:rsidTr="00B00FCE">
        <w:trPr>
          <w:trHeight w:val="284"/>
        </w:trPr>
        <w:tc>
          <w:tcPr>
            <w:tcW w:w="4961" w:type="dxa"/>
            <w:tcBorders>
              <w:top w:val="nil"/>
              <w:left w:val="nil"/>
              <w:bottom w:val="nil"/>
              <w:right w:val="nil"/>
            </w:tcBorders>
            <w:shd w:val="clear" w:color="000000" w:fill="FFFFFF"/>
            <w:noWrap/>
            <w:vAlign w:val="bottom"/>
            <w:hideMark/>
          </w:tcPr>
          <w:p w14:paraId="29D046B7"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Deferred tax</w:t>
            </w:r>
          </w:p>
        </w:tc>
        <w:tc>
          <w:tcPr>
            <w:tcW w:w="339" w:type="dxa"/>
            <w:tcBorders>
              <w:top w:val="nil"/>
              <w:left w:val="nil"/>
              <w:bottom w:val="nil"/>
              <w:right w:val="nil"/>
            </w:tcBorders>
            <w:shd w:val="clear" w:color="000000" w:fill="FFFFFF"/>
            <w:noWrap/>
            <w:vAlign w:val="bottom"/>
            <w:hideMark/>
          </w:tcPr>
          <w:p w14:paraId="363599DF"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 </w:t>
            </w:r>
          </w:p>
        </w:tc>
        <w:tc>
          <w:tcPr>
            <w:tcW w:w="2076" w:type="dxa"/>
            <w:tcBorders>
              <w:top w:val="nil"/>
              <w:left w:val="nil"/>
              <w:bottom w:val="single" w:sz="4" w:space="0" w:color="auto"/>
              <w:right w:val="nil"/>
            </w:tcBorders>
            <w:shd w:val="clear" w:color="000000" w:fill="FFFFFF"/>
            <w:noWrap/>
            <w:vAlign w:val="bottom"/>
            <w:hideMark/>
          </w:tcPr>
          <w:p w14:paraId="415CCD1D" w14:textId="7C152875" w:rsidR="00692A81" w:rsidRPr="00073D3D" w:rsidRDefault="00D8639A"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1,236</w:t>
            </w:r>
          </w:p>
        </w:tc>
        <w:tc>
          <w:tcPr>
            <w:tcW w:w="345" w:type="dxa"/>
            <w:tcBorders>
              <w:top w:val="nil"/>
              <w:left w:val="nil"/>
              <w:bottom w:val="nil"/>
              <w:right w:val="nil"/>
            </w:tcBorders>
            <w:shd w:val="clear" w:color="000000" w:fill="FFFFFF"/>
            <w:noWrap/>
            <w:vAlign w:val="bottom"/>
            <w:hideMark/>
          </w:tcPr>
          <w:p w14:paraId="2035A7DB"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r w:rsidRPr="00073D3D">
              <w:rPr>
                <w:rFonts w:eastAsia="Times New Roman" w:cstheme="minorHAnsi"/>
                <w:color w:val="FF0000"/>
                <w:sz w:val="16"/>
                <w:szCs w:val="16"/>
                <w:lang w:eastAsia="en-GB"/>
              </w:rPr>
              <w:t> </w:t>
            </w:r>
          </w:p>
        </w:tc>
        <w:tc>
          <w:tcPr>
            <w:tcW w:w="1635" w:type="dxa"/>
            <w:tcBorders>
              <w:top w:val="nil"/>
              <w:left w:val="nil"/>
              <w:bottom w:val="single" w:sz="4" w:space="0" w:color="auto"/>
              <w:right w:val="nil"/>
            </w:tcBorders>
            <w:shd w:val="clear" w:color="000000" w:fill="FFFFFF"/>
            <w:vAlign w:val="bottom"/>
          </w:tcPr>
          <w:p w14:paraId="267EE626" w14:textId="395FDB67" w:rsidR="00692A81" w:rsidRPr="00073D3D" w:rsidRDefault="003748F5"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1,036</w:t>
            </w:r>
          </w:p>
        </w:tc>
      </w:tr>
      <w:tr w:rsidR="00692A81" w:rsidRPr="00073D3D" w14:paraId="33B65B4D" w14:textId="77777777" w:rsidTr="00B00FCE">
        <w:trPr>
          <w:trHeight w:val="180"/>
        </w:trPr>
        <w:tc>
          <w:tcPr>
            <w:tcW w:w="4961" w:type="dxa"/>
            <w:tcBorders>
              <w:top w:val="nil"/>
              <w:left w:val="nil"/>
              <w:bottom w:val="nil"/>
              <w:right w:val="nil"/>
            </w:tcBorders>
            <w:shd w:val="clear" w:color="000000" w:fill="FFFFFF"/>
            <w:noWrap/>
            <w:vAlign w:val="bottom"/>
          </w:tcPr>
          <w:p w14:paraId="0A39DAF3"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339" w:type="dxa"/>
            <w:tcBorders>
              <w:top w:val="nil"/>
              <w:left w:val="nil"/>
              <w:bottom w:val="nil"/>
              <w:right w:val="nil"/>
            </w:tcBorders>
            <w:shd w:val="clear" w:color="000000" w:fill="FFFFFF"/>
            <w:noWrap/>
            <w:vAlign w:val="bottom"/>
          </w:tcPr>
          <w:p w14:paraId="68914DBA"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nil"/>
              <w:left w:val="nil"/>
              <w:bottom w:val="single" w:sz="4" w:space="0" w:color="auto"/>
              <w:right w:val="nil"/>
            </w:tcBorders>
            <w:shd w:val="clear" w:color="000000" w:fill="FFFFFF"/>
            <w:noWrap/>
            <w:vAlign w:val="bottom"/>
          </w:tcPr>
          <w:p w14:paraId="295FD447" w14:textId="10A0C0D0" w:rsidR="00692A81" w:rsidRPr="00073D3D" w:rsidRDefault="00D8639A"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88,071</w:t>
            </w:r>
          </w:p>
        </w:tc>
        <w:tc>
          <w:tcPr>
            <w:tcW w:w="345" w:type="dxa"/>
            <w:tcBorders>
              <w:top w:val="nil"/>
              <w:left w:val="nil"/>
              <w:bottom w:val="nil"/>
              <w:right w:val="nil"/>
            </w:tcBorders>
            <w:shd w:val="clear" w:color="000000" w:fill="FFFFFF"/>
            <w:noWrap/>
            <w:vAlign w:val="bottom"/>
          </w:tcPr>
          <w:p w14:paraId="5C5F7D5C"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nil"/>
              <w:left w:val="nil"/>
              <w:bottom w:val="single" w:sz="4" w:space="0" w:color="auto"/>
              <w:right w:val="nil"/>
            </w:tcBorders>
            <w:shd w:val="clear" w:color="000000" w:fill="FFFFFF"/>
            <w:vAlign w:val="bottom"/>
          </w:tcPr>
          <w:p w14:paraId="340EAAF6" w14:textId="65A05462"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7</w:t>
            </w:r>
            <w:r w:rsidR="003748F5">
              <w:rPr>
                <w:rFonts w:eastAsia="Times New Roman" w:cstheme="minorHAnsi"/>
                <w:bCs/>
                <w:color w:val="000000"/>
                <w:sz w:val="16"/>
                <w:szCs w:val="16"/>
                <w:lang w:eastAsia="en-GB"/>
              </w:rPr>
              <w:t>9,291</w:t>
            </w:r>
          </w:p>
        </w:tc>
      </w:tr>
      <w:tr w:rsidR="00692A81" w:rsidRPr="00073D3D" w14:paraId="6C7FF86A" w14:textId="77777777" w:rsidTr="00B00FCE">
        <w:trPr>
          <w:trHeight w:val="283"/>
        </w:trPr>
        <w:tc>
          <w:tcPr>
            <w:tcW w:w="4961" w:type="dxa"/>
            <w:tcBorders>
              <w:top w:val="nil"/>
              <w:left w:val="nil"/>
              <w:bottom w:val="nil"/>
              <w:right w:val="nil"/>
            </w:tcBorders>
            <w:shd w:val="clear" w:color="000000" w:fill="FFFFFF"/>
            <w:noWrap/>
            <w:vAlign w:val="bottom"/>
            <w:hideMark/>
          </w:tcPr>
          <w:p w14:paraId="32E55DED"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b/>
                <w:bCs/>
                <w:color w:val="000000"/>
                <w:sz w:val="16"/>
                <w:szCs w:val="16"/>
                <w:lang w:eastAsia="en-GB"/>
              </w:rPr>
            </w:pPr>
            <w:r w:rsidRPr="00073D3D">
              <w:rPr>
                <w:rFonts w:eastAsia="Times New Roman" w:cstheme="minorHAnsi"/>
                <w:b/>
                <w:bCs/>
                <w:color w:val="000000"/>
                <w:sz w:val="16"/>
                <w:szCs w:val="16"/>
                <w:lang w:eastAsia="en-GB"/>
              </w:rPr>
              <w:t>CURRENT ASSETS</w:t>
            </w:r>
          </w:p>
        </w:tc>
        <w:tc>
          <w:tcPr>
            <w:tcW w:w="339" w:type="dxa"/>
            <w:tcBorders>
              <w:top w:val="nil"/>
              <w:left w:val="nil"/>
              <w:bottom w:val="nil"/>
              <w:right w:val="nil"/>
            </w:tcBorders>
            <w:shd w:val="clear" w:color="000000" w:fill="FFFFFF"/>
            <w:noWrap/>
            <w:vAlign w:val="bottom"/>
            <w:hideMark/>
          </w:tcPr>
          <w:p w14:paraId="24510A77"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 </w:t>
            </w:r>
          </w:p>
        </w:tc>
        <w:tc>
          <w:tcPr>
            <w:tcW w:w="2076" w:type="dxa"/>
            <w:tcBorders>
              <w:top w:val="single" w:sz="4" w:space="0" w:color="auto"/>
              <w:left w:val="nil"/>
              <w:bottom w:val="nil"/>
              <w:right w:val="nil"/>
            </w:tcBorders>
            <w:shd w:val="clear" w:color="000000" w:fill="FFFFFF"/>
            <w:noWrap/>
            <w:vAlign w:val="bottom"/>
            <w:hideMark/>
          </w:tcPr>
          <w:p w14:paraId="540B4801"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073D3D">
              <w:rPr>
                <w:rFonts w:eastAsia="Times New Roman" w:cstheme="minorHAnsi"/>
                <w:b/>
                <w:color w:val="000000"/>
                <w:sz w:val="16"/>
                <w:szCs w:val="16"/>
                <w:lang w:eastAsia="en-GB"/>
              </w:rPr>
              <w:t> </w:t>
            </w:r>
          </w:p>
        </w:tc>
        <w:tc>
          <w:tcPr>
            <w:tcW w:w="345" w:type="dxa"/>
            <w:tcBorders>
              <w:top w:val="nil"/>
              <w:left w:val="nil"/>
              <w:bottom w:val="nil"/>
              <w:right w:val="nil"/>
            </w:tcBorders>
            <w:shd w:val="clear" w:color="000000" w:fill="FFFFFF"/>
            <w:noWrap/>
            <w:vAlign w:val="bottom"/>
            <w:hideMark/>
          </w:tcPr>
          <w:p w14:paraId="4FD620DC"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r w:rsidRPr="00073D3D">
              <w:rPr>
                <w:rFonts w:eastAsia="Times New Roman" w:cstheme="minorHAnsi"/>
                <w:color w:val="FF0000"/>
                <w:sz w:val="16"/>
                <w:szCs w:val="16"/>
                <w:lang w:eastAsia="en-GB"/>
              </w:rPr>
              <w:t> </w:t>
            </w:r>
          </w:p>
        </w:tc>
        <w:tc>
          <w:tcPr>
            <w:tcW w:w="1635" w:type="dxa"/>
            <w:tcBorders>
              <w:top w:val="single" w:sz="4" w:space="0" w:color="auto"/>
              <w:left w:val="nil"/>
              <w:bottom w:val="nil"/>
              <w:right w:val="nil"/>
            </w:tcBorders>
            <w:shd w:val="clear" w:color="000000" w:fill="FFFFFF"/>
            <w:vAlign w:val="bottom"/>
          </w:tcPr>
          <w:p w14:paraId="63F25357" w14:textId="657D3814"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 </w:t>
            </w:r>
          </w:p>
        </w:tc>
      </w:tr>
      <w:tr w:rsidR="00692A81" w:rsidRPr="00073D3D" w14:paraId="31F87776" w14:textId="77777777" w:rsidTr="00B00FCE">
        <w:trPr>
          <w:trHeight w:val="300"/>
        </w:trPr>
        <w:tc>
          <w:tcPr>
            <w:tcW w:w="4961" w:type="dxa"/>
            <w:tcBorders>
              <w:top w:val="nil"/>
              <w:left w:val="nil"/>
              <w:bottom w:val="nil"/>
              <w:right w:val="nil"/>
            </w:tcBorders>
            <w:shd w:val="clear" w:color="000000" w:fill="FFFFFF"/>
            <w:noWrap/>
            <w:vAlign w:val="bottom"/>
          </w:tcPr>
          <w:p w14:paraId="0469F0C0" w14:textId="0FF6AE49"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Trade and other receivables</w:t>
            </w:r>
          </w:p>
        </w:tc>
        <w:tc>
          <w:tcPr>
            <w:tcW w:w="339" w:type="dxa"/>
            <w:tcBorders>
              <w:top w:val="nil"/>
              <w:left w:val="nil"/>
              <w:bottom w:val="nil"/>
              <w:right w:val="nil"/>
            </w:tcBorders>
            <w:shd w:val="clear" w:color="000000" w:fill="FFFFFF"/>
            <w:noWrap/>
            <w:vAlign w:val="bottom"/>
          </w:tcPr>
          <w:p w14:paraId="6F459B23"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nil"/>
              <w:left w:val="nil"/>
              <w:bottom w:val="nil"/>
              <w:right w:val="nil"/>
            </w:tcBorders>
            <w:shd w:val="clear" w:color="000000" w:fill="FFFFFF"/>
            <w:noWrap/>
            <w:vAlign w:val="bottom"/>
          </w:tcPr>
          <w:p w14:paraId="5C5D800E" w14:textId="6142CB2F" w:rsidR="00692A81" w:rsidRPr="00073D3D" w:rsidRDefault="00D8639A"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91,847</w:t>
            </w:r>
          </w:p>
        </w:tc>
        <w:tc>
          <w:tcPr>
            <w:tcW w:w="345" w:type="dxa"/>
            <w:tcBorders>
              <w:top w:val="nil"/>
              <w:left w:val="nil"/>
              <w:bottom w:val="nil"/>
              <w:right w:val="nil"/>
            </w:tcBorders>
            <w:shd w:val="clear" w:color="000000" w:fill="FFFFFF"/>
            <w:noWrap/>
            <w:vAlign w:val="bottom"/>
          </w:tcPr>
          <w:p w14:paraId="0A067A1F"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nil"/>
              <w:left w:val="nil"/>
              <w:bottom w:val="nil"/>
              <w:right w:val="nil"/>
            </w:tcBorders>
            <w:shd w:val="clear" w:color="000000" w:fill="FFFFFF"/>
            <w:vAlign w:val="bottom"/>
          </w:tcPr>
          <w:p w14:paraId="1D2296A7" w14:textId="156B485C" w:rsidR="00692A81" w:rsidRPr="00073D3D" w:rsidRDefault="003748F5"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70,852</w:t>
            </w:r>
          </w:p>
        </w:tc>
      </w:tr>
      <w:tr w:rsidR="00692A81" w:rsidRPr="00073D3D" w14:paraId="66EBACFD" w14:textId="77777777" w:rsidTr="00B00FCE">
        <w:trPr>
          <w:trHeight w:val="300"/>
        </w:trPr>
        <w:tc>
          <w:tcPr>
            <w:tcW w:w="4961" w:type="dxa"/>
            <w:tcBorders>
              <w:top w:val="nil"/>
              <w:left w:val="nil"/>
              <w:bottom w:val="nil"/>
              <w:right w:val="nil"/>
            </w:tcBorders>
            <w:shd w:val="clear" w:color="000000" w:fill="FFFFFF"/>
            <w:noWrap/>
            <w:vAlign w:val="bottom"/>
            <w:hideMark/>
          </w:tcPr>
          <w:p w14:paraId="47757871"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Cash and cash equivalents</w:t>
            </w:r>
          </w:p>
        </w:tc>
        <w:tc>
          <w:tcPr>
            <w:tcW w:w="339" w:type="dxa"/>
            <w:tcBorders>
              <w:top w:val="nil"/>
              <w:left w:val="nil"/>
              <w:bottom w:val="nil"/>
              <w:right w:val="nil"/>
            </w:tcBorders>
            <w:shd w:val="clear" w:color="000000" w:fill="FFFFFF"/>
            <w:noWrap/>
            <w:vAlign w:val="bottom"/>
            <w:hideMark/>
          </w:tcPr>
          <w:p w14:paraId="009A7460"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 </w:t>
            </w:r>
          </w:p>
        </w:tc>
        <w:tc>
          <w:tcPr>
            <w:tcW w:w="2076" w:type="dxa"/>
            <w:tcBorders>
              <w:top w:val="nil"/>
              <w:left w:val="nil"/>
              <w:bottom w:val="single" w:sz="4" w:space="0" w:color="auto"/>
              <w:right w:val="nil"/>
            </w:tcBorders>
            <w:shd w:val="clear" w:color="000000" w:fill="FFFFFF"/>
            <w:noWrap/>
            <w:vAlign w:val="bottom"/>
            <w:hideMark/>
          </w:tcPr>
          <w:p w14:paraId="406F3AE0" w14:textId="16F2D0F8" w:rsidR="00692A81" w:rsidRPr="00073D3D" w:rsidRDefault="00D8639A"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3,772</w:t>
            </w:r>
          </w:p>
        </w:tc>
        <w:tc>
          <w:tcPr>
            <w:tcW w:w="345" w:type="dxa"/>
            <w:tcBorders>
              <w:top w:val="nil"/>
              <w:left w:val="nil"/>
              <w:bottom w:val="nil"/>
              <w:right w:val="nil"/>
            </w:tcBorders>
            <w:shd w:val="clear" w:color="000000" w:fill="FFFFFF"/>
            <w:noWrap/>
            <w:vAlign w:val="bottom"/>
            <w:hideMark/>
          </w:tcPr>
          <w:p w14:paraId="06327F78"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r w:rsidRPr="00073D3D">
              <w:rPr>
                <w:rFonts w:eastAsia="Times New Roman" w:cstheme="minorHAnsi"/>
                <w:color w:val="FF0000"/>
                <w:sz w:val="16"/>
                <w:szCs w:val="16"/>
                <w:lang w:eastAsia="en-GB"/>
              </w:rPr>
              <w:t> </w:t>
            </w:r>
          </w:p>
        </w:tc>
        <w:tc>
          <w:tcPr>
            <w:tcW w:w="1635" w:type="dxa"/>
            <w:tcBorders>
              <w:top w:val="nil"/>
              <w:left w:val="nil"/>
              <w:bottom w:val="single" w:sz="4" w:space="0" w:color="auto"/>
              <w:right w:val="nil"/>
            </w:tcBorders>
            <w:shd w:val="clear" w:color="000000" w:fill="FFFFFF"/>
            <w:vAlign w:val="bottom"/>
          </w:tcPr>
          <w:p w14:paraId="11BB460F" w14:textId="7B2B1EAF" w:rsidR="00692A81" w:rsidRPr="00073D3D" w:rsidRDefault="003748F5"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3,170</w:t>
            </w:r>
          </w:p>
        </w:tc>
      </w:tr>
      <w:tr w:rsidR="00692A81" w:rsidRPr="00073D3D" w14:paraId="5C6AD397" w14:textId="77777777" w:rsidTr="00B00FCE">
        <w:trPr>
          <w:trHeight w:val="190"/>
        </w:trPr>
        <w:tc>
          <w:tcPr>
            <w:tcW w:w="4961" w:type="dxa"/>
            <w:tcBorders>
              <w:top w:val="nil"/>
              <w:left w:val="nil"/>
              <w:bottom w:val="nil"/>
              <w:right w:val="nil"/>
            </w:tcBorders>
            <w:shd w:val="clear" w:color="000000" w:fill="FFFFFF"/>
            <w:noWrap/>
            <w:vAlign w:val="bottom"/>
          </w:tcPr>
          <w:p w14:paraId="7A585507"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339" w:type="dxa"/>
            <w:tcBorders>
              <w:top w:val="nil"/>
              <w:left w:val="nil"/>
              <w:bottom w:val="nil"/>
              <w:right w:val="nil"/>
            </w:tcBorders>
            <w:shd w:val="clear" w:color="000000" w:fill="FFFFFF"/>
            <w:noWrap/>
            <w:vAlign w:val="bottom"/>
          </w:tcPr>
          <w:p w14:paraId="29C2D5B2"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nil"/>
              <w:left w:val="nil"/>
              <w:bottom w:val="single" w:sz="4" w:space="0" w:color="auto"/>
              <w:right w:val="nil"/>
            </w:tcBorders>
            <w:shd w:val="clear" w:color="000000" w:fill="FFFFFF"/>
            <w:noWrap/>
            <w:vAlign w:val="bottom"/>
          </w:tcPr>
          <w:p w14:paraId="328CD3B9" w14:textId="73A3A1BC" w:rsidR="00692A81" w:rsidRPr="00073D3D" w:rsidRDefault="00A32AF4"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95,619</w:t>
            </w:r>
          </w:p>
        </w:tc>
        <w:tc>
          <w:tcPr>
            <w:tcW w:w="345" w:type="dxa"/>
            <w:tcBorders>
              <w:top w:val="nil"/>
              <w:left w:val="nil"/>
              <w:bottom w:val="nil"/>
              <w:right w:val="nil"/>
            </w:tcBorders>
            <w:shd w:val="clear" w:color="000000" w:fill="FFFFFF"/>
            <w:noWrap/>
            <w:vAlign w:val="bottom"/>
          </w:tcPr>
          <w:p w14:paraId="5FA333AD"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nil"/>
              <w:left w:val="nil"/>
              <w:bottom w:val="single" w:sz="4" w:space="0" w:color="auto"/>
              <w:right w:val="nil"/>
            </w:tcBorders>
            <w:shd w:val="clear" w:color="000000" w:fill="FFFFFF"/>
            <w:vAlign w:val="bottom"/>
          </w:tcPr>
          <w:p w14:paraId="118FB246" w14:textId="6D67CE9B" w:rsidR="00692A81" w:rsidRPr="00073D3D" w:rsidRDefault="003748F5"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74,022</w:t>
            </w:r>
          </w:p>
        </w:tc>
      </w:tr>
      <w:tr w:rsidR="00692A81" w:rsidRPr="00073D3D" w14:paraId="5800193B" w14:textId="77777777" w:rsidTr="00B00FCE">
        <w:trPr>
          <w:trHeight w:val="195"/>
        </w:trPr>
        <w:tc>
          <w:tcPr>
            <w:tcW w:w="4961" w:type="dxa"/>
            <w:tcBorders>
              <w:top w:val="nil"/>
              <w:left w:val="nil"/>
              <w:bottom w:val="nil"/>
              <w:right w:val="nil"/>
            </w:tcBorders>
            <w:shd w:val="clear" w:color="000000" w:fill="FFFFFF"/>
            <w:noWrap/>
            <w:vAlign w:val="bottom"/>
          </w:tcPr>
          <w:p w14:paraId="09441C9A"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b/>
                <w:bCs/>
                <w:color w:val="000000"/>
                <w:sz w:val="16"/>
                <w:szCs w:val="16"/>
                <w:lang w:eastAsia="en-GB"/>
              </w:rPr>
            </w:pPr>
            <w:r w:rsidRPr="00073D3D">
              <w:rPr>
                <w:rFonts w:eastAsia="Times New Roman" w:cstheme="minorHAnsi"/>
                <w:b/>
                <w:bCs/>
                <w:color w:val="000000"/>
                <w:sz w:val="16"/>
                <w:szCs w:val="16"/>
                <w:lang w:eastAsia="en-GB"/>
              </w:rPr>
              <w:t>TOTAL ASSETS</w:t>
            </w:r>
          </w:p>
        </w:tc>
        <w:tc>
          <w:tcPr>
            <w:tcW w:w="339" w:type="dxa"/>
            <w:tcBorders>
              <w:top w:val="nil"/>
              <w:left w:val="nil"/>
              <w:bottom w:val="nil"/>
              <w:right w:val="nil"/>
            </w:tcBorders>
            <w:shd w:val="clear" w:color="000000" w:fill="FFFFFF"/>
            <w:noWrap/>
            <w:vAlign w:val="bottom"/>
          </w:tcPr>
          <w:p w14:paraId="150A0422"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nil"/>
              <w:left w:val="nil"/>
              <w:bottom w:val="double" w:sz="4" w:space="0" w:color="auto"/>
              <w:right w:val="nil"/>
            </w:tcBorders>
            <w:shd w:val="clear" w:color="000000" w:fill="FFFFFF"/>
            <w:noWrap/>
            <w:vAlign w:val="bottom"/>
          </w:tcPr>
          <w:p w14:paraId="3C4D4B11" w14:textId="6F65FA5C" w:rsidR="00692A81" w:rsidRPr="00073D3D" w:rsidRDefault="00A32AF4"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183,690</w:t>
            </w:r>
          </w:p>
        </w:tc>
        <w:tc>
          <w:tcPr>
            <w:tcW w:w="345" w:type="dxa"/>
            <w:tcBorders>
              <w:top w:val="nil"/>
              <w:left w:val="nil"/>
              <w:bottom w:val="nil"/>
              <w:right w:val="nil"/>
            </w:tcBorders>
            <w:shd w:val="clear" w:color="000000" w:fill="FFFFFF"/>
            <w:noWrap/>
            <w:vAlign w:val="bottom"/>
          </w:tcPr>
          <w:p w14:paraId="7C45A649"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1635" w:type="dxa"/>
            <w:tcBorders>
              <w:top w:val="nil"/>
              <w:left w:val="nil"/>
              <w:bottom w:val="double" w:sz="4" w:space="0" w:color="auto"/>
              <w:right w:val="nil"/>
            </w:tcBorders>
            <w:shd w:val="clear" w:color="000000" w:fill="FFFFFF"/>
            <w:vAlign w:val="bottom"/>
          </w:tcPr>
          <w:p w14:paraId="1171AE09" w14:textId="286E7A0C"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1</w:t>
            </w:r>
            <w:r w:rsidR="003748F5">
              <w:rPr>
                <w:rFonts w:eastAsia="Times New Roman" w:cstheme="minorHAnsi"/>
                <w:bCs/>
                <w:color w:val="000000"/>
                <w:sz w:val="16"/>
                <w:szCs w:val="16"/>
                <w:lang w:eastAsia="en-GB"/>
              </w:rPr>
              <w:t>53,313</w:t>
            </w:r>
          </w:p>
        </w:tc>
      </w:tr>
      <w:tr w:rsidR="00692A81" w:rsidRPr="00073D3D" w14:paraId="7D6F0CAC" w14:textId="77777777" w:rsidTr="00B00FCE">
        <w:trPr>
          <w:trHeight w:val="195"/>
        </w:trPr>
        <w:tc>
          <w:tcPr>
            <w:tcW w:w="4961" w:type="dxa"/>
            <w:tcBorders>
              <w:top w:val="nil"/>
              <w:left w:val="nil"/>
              <w:bottom w:val="nil"/>
              <w:right w:val="nil"/>
            </w:tcBorders>
            <w:shd w:val="clear" w:color="000000" w:fill="FFFFFF"/>
            <w:noWrap/>
            <w:vAlign w:val="bottom"/>
            <w:hideMark/>
          </w:tcPr>
          <w:p w14:paraId="0DD36B53" w14:textId="479AC55A" w:rsidR="00692A81" w:rsidRPr="00073D3D" w:rsidRDefault="00692A81" w:rsidP="00692A81">
            <w:pPr>
              <w:keepLines/>
              <w:widowControl w:val="0"/>
              <w:autoSpaceDE w:val="0"/>
              <w:autoSpaceDN w:val="0"/>
              <w:adjustRightInd w:val="0"/>
              <w:spacing w:after="0" w:line="240" w:lineRule="auto"/>
              <w:rPr>
                <w:rFonts w:eastAsia="Times New Roman" w:cstheme="minorHAnsi"/>
                <w:b/>
                <w:bCs/>
                <w:color w:val="000000"/>
                <w:sz w:val="16"/>
                <w:szCs w:val="16"/>
                <w:lang w:eastAsia="en-GB"/>
              </w:rPr>
            </w:pPr>
          </w:p>
        </w:tc>
        <w:tc>
          <w:tcPr>
            <w:tcW w:w="339" w:type="dxa"/>
            <w:tcBorders>
              <w:top w:val="nil"/>
              <w:left w:val="nil"/>
              <w:bottom w:val="nil"/>
              <w:right w:val="nil"/>
            </w:tcBorders>
            <w:shd w:val="clear" w:color="000000" w:fill="FFFFFF"/>
            <w:noWrap/>
            <w:vAlign w:val="bottom"/>
            <w:hideMark/>
          </w:tcPr>
          <w:p w14:paraId="02C8FFA3"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 </w:t>
            </w:r>
          </w:p>
        </w:tc>
        <w:tc>
          <w:tcPr>
            <w:tcW w:w="2076" w:type="dxa"/>
            <w:tcBorders>
              <w:top w:val="nil"/>
              <w:left w:val="nil"/>
              <w:right w:val="nil"/>
            </w:tcBorders>
            <w:shd w:val="clear" w:color="000000" w:fill="FFFFFF"/>
            <w:noWrap/>
            <w:vAlign w:val="bottom"/>
            <w:hideMark/>
          </w:tcPr>
          <w:p w14:paraId="7403B155"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073D3D">
              <w:rPr>
                <w:rFonts w:eastAsia="Times New Roman" w:cstheme="minorHAnsi"/>
                <w:b/>
                <w:color w:val="000000"/>
                <w:sz w:val="16"/>
                <w:szCs w:val="16"/>
                <w:lang w:eastAsia="en-GB"/>
              </w:rPr>
              <w:t> </w:t>
            </w:r>
          </w:p>
        </w:tc>
        <w:tc>
          <w:tcPr>
            <w:tcW w:w="345" w:type="dxa"/>
            <w:tcBorders>
              <w:top w:val="nil"/>
              <w:left w:val="nil"/>
              <w:bottom w:val="nil"/>
              <w:right w:val="nil"/>
            </w:tcBorders>
            <w:shd w:val="clear" w:color="000000" w:fill="FFFFFF"/>
            <w:noWrap/>
            <w:vAlign w:val="bottom"/>
            <w:hideMark/>
          </w:tcPr>
          <w:p w14:paraId="4CB6EEA9"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r w:rsidRPr="00073D3D">
              <w:rPr>
                <w:rFonts w:eastAsia="Times New Roman" w:cstheme="minorHAnsi"/>
                <w:color w:val="FF0000"/>
                <w:sz w:val="16"/>
                <w:szCs w:val="16"/>
                <w:lang w:eastAsia="en-GB"/>
              </w:rPr>
              <w:t> </w:t>
            </w:r>
          </w:p>
        </w:tc>
        <w:tc>
          <w:tcPr>
            <w:tcW w:w="1635" w:type="dxa"/>
            <w:tcBorders>
              <w:top w:val="nil"/>
              <w:left w:val="nil"/>
              <w:right w:val="nil"/>
            </w:tcBorders>
            <w:shd w:val="clear" w:color="000000" w:fill="FFFFFF"/>
            <w:vAlign w:val="bottom"/>
          </w:tcPr>
          <w:p w14:paraId="76FA0899" w14:textId="240EFD49"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 </w:t>
            </w:r>
          </w:p>
        </w:tc>
      </w:tr>
      <w:tr w:rsidR="00692A81" w:rsidRPr="00073D3D" w14:paraId="1E698C1E" w14:textId="77777777" w:rsidTr="00B00FCE">
        <w:trPr>
          <w:trHeight w:val="195"/>
        </w:trPr>
        <w:tc>
          <w:tcPr>
            <w:tcW w:w="4961" w:type="dxa"/>
            <w:tcBorders>
              <w:top w:val="nil"/>
              <w:left w:val="nil"/>
              <w:bottom w:val="nil"/>
              <w:right w:val="nil"/>
            </w:tcBorders>
            <w:shd w:val="clear" w:color="000000" w:fill="FFFFFF"/>
            <w:noWrap/>
            <w:vAlign w:val="bottom"/>
          </w:tcPr>
          <w:p w14:paraId="2F10D51D" w14:textId="3546A170" w:rsidR="00692A81" w:rsidRPr="00073D3D" w:rsidRDefault="00692A81" w:rsidP="00692A81">
            <w:pPr>
              <w:keepLines/>
              <w:widowControl w:val="0"/>
              <w:autoSpaceDE w:val="0"/>
              <w:autoSpaceDN w:val="0"/>
              <w:adjustRightInd w:val="0"/>
              <w:spacing w:after="0" w:line="240" w:lineRule="auto"/>
              <w:rPr>
                <w:rFonts w:eastAsia="Times New Roman" w:cstheme="minorHAnsi"/>
                <w:b/>
                <w:bCs/>
                <w:color w:val="000000"/>
                <w:sz w:val="16"/>
                <w:szCs w:val="16"/>
                <w:lang w:eastAsia="en-GB"/>
              </w:rPr>
            </w:pPr>
            <w:r w:rsidRPr="00073D3D">
              <w:rPr>
                <w:rFonts w:eastAsia="Times New Roman" w:cstheme="minorHAnsi"/>
                <w:b/>
                <w:bCs/>
                <w:color w:val="000000"/>
                <w:sz w:val="16"/>
                <w:szCs w:val="16"/>
                <w:lang w:eastAsia="en-GB"/>
              </w:rPr>
              <w:t>EQUITY</w:t>
            </w:r>
          </w:p>
        </w:tc>
        <w:tc>
          <w:tcPr>
            <w:tcW w:w="339" w:type="dxa"/>
            <w:tcBorders>
              <w:top w:val="nil"/>
              <w:left w:val="nil"/>
              <w:bottom w:val="nil"/>
              <w:right w:val="nil"/>
            </w:tcBorders>
            <w:shd w:val="clear" w:color="000000" w:fill="FFFFFF"/>
            <w:noWrap/>
            <w:vAlign w:val="bottom"/>
          </w:tcPr>
          <w:p w14:paraId="33CC7D0C"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nil"/>
              <w:left w:val="nil"/>
              <w:right w:val="nil"/>
            </w:tcBorders>
            <w:shd w:val="clear" w:color="000000" w:fill="FFFFFF"/>
            <w:noWrap/>
            <w:vAlign w:val="bottom"/>
          </w:tcPr>
          <w:p w14:paraId="46E60216"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345" w:type="dxa"/>
            <w:tcBorders>
              <w:top w:val="nil"/>
              <w:left w:val="nil"/>
              <w:bottom w:val="nil"/>
              <w:right w:val="nil"/>
            </w:tcBorders>
            <w:shd w:val="clear" w:color="000000" w:fill="FFFFFF"/>
            <w:noWrap/>
            <w:vAlign w:val="bottom"/>
          </w:tcPr>
          <w:p w14:paraId="00EADFD6"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nil"/>
              <w:left w:val="nil"/>
              <w:right w:val="nil"/>
            </w:tcBorders>
            <w:shd w:val="clear" w:color="000000" w:fill="FFFFFF"/>
            <w:vAlign w:val="bottom"/>
          </w:tcPr>
          <w:p w14:paraId="4D99C00D"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p>
        </w:tc>
      </w:tr>
      <w:tr w:rsidR="00692A81" w:rsidRPr="00073D3D" w14:paraId="5F966042" w14:textId="77777777" w:rsidTr="00B00FCE">
        <w:trPr>
          <w:trHeight w:val="195"/>
        </w:trPr>
        <w:tc>
          <w:tcPr>
            <w:tcW w:w="4961" w:type="dxa"/>
            <w:tcBorders>
              <w:top w:val="nil"/>
              <w:left w:val="nil"/>
              <w:bottom w:val="nil"/>
              <w:right w:val="nil"/>
            </w:tcBorders>
            <w:shd w:val="clear" w:color="000000" w:fill="FFFFFF"/>
            <w:noWrap/>
            <w:vAlign w:val="bottom"/>
          </w:tcPr>
          <w:p w14:paraId="2846283C"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b/>
                <w:bCs/>
                <w:color w:val="000000"/>
                <w:sz w:val="16"/>
                <w:szCs w:val="16"/>
                <w:lang w:eastAsia="en-GB"/>
              </w:rPr>
            </w:pPr>
            <w:r w:rsidRPr="00073D3D">
              <w:rPr>
                <w:rFonts w:eastAsia="Times New Roman" w:cstheme="minorHAnsi"/>
                <w:b/>
                <w:bCs/>
                <w:color w:val="000000"/>
                <w:sz w:val="16"/>
                <w:szCs w:val="16"/>
                <w:lang w:eastAsia="en-GB"/>
              </w:rPr>
              <w:t>SHAREHOLDERS’ EQUITY</w:t>
            </w:r>
          </w:p>
        </w:tc>
        <w:tc>
          <w:tcPr>
            <w:tcW w:w="339" w:type="dxa"/>
            <w:tcBorders>
              <w:top w:val="nil"/>
              <w:left w:val="nil"/>
              <w:bottom w:val="nil"/>
              <w:right w:val="nil"/>
            </w:tcBorders>
            <w:shd w:val="clear" w:color="000000" w:fill="FFFFFF"/>
            <w:noWrap/>
            <w:vAlign w:val="bottom"/>
          </w:tcPr>
          <w:p w14:paraId="2682421E"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nil"/>
              <w:left w:val="nil"/>
              <w:right w:val="nil"/>
            </w:tcBorders>
            <w:shd w:val="clear" w:color="000000" w:fill="FFFFFF"/>
            <w:noWrap/>
            <w:vAlign w:val="bottom"/>
          </w:tcPr>
          <w:p w14:paraId="6E2F34D7"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345" w:type="dxa"/>
            <w:tcBorders>
              <w:top w:val="nil"/>
              <w:left w:val="nil"/>
              <w:bottom w:val="nil"/>
              <w:right w:val="nil"/>
            </w:tcBorders>
            <w:shd w:val="clear" w:color="000000" w:fill="FFFFFF"/>
            <w:noWrap/>
            <w:vAlign w:val="bottom"/>
          </w:tcPr>
          <w:p w14:paraId="240B01EF"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nil"/>
              <w:left w:val="nil"/>
              <w:right w:val="nil"/>
            </w:tcBorders>
            <w:shd w:val="clear" w:color="000000" w:fill="FFFFFF"/>
            <w:vAlign w:val="bottom"/>
          </w:tcPr>
          <w:p w14:paraId="4650B52F"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p>
        </w:tc>
      </w:tr>
      <w:tr w:rsidR="00692A81" w:rsidRPr="00073D3D" w14:paraId="2CB4EE46" w14:textId="77777777" w:rsidTr="00B00FCE">
        <w:trPr>
          <w:trHeight w:val="284"/>
        </w:trPr>
        <w:tc>
          <w:tcPr>
            <w:tcW w:w="4961" w:type="dxa"/>
            <w:tcBorders>
              <w:top w:val="nil"/>
              <w:left w:val="nil"/>
              <w:bottom w:val="nil"/>
              <w:right w:val="nil"/>
            </w:tcBorders>
            <w:shd w:val="clear" w:color="000000" w:fill="FFFFFF"/>
            <w:noWrap/>
            <w:vAlign w:val="bottom"/>
          </w:tcPr>
          <w:p w14:paraId="26F7A3A9"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Called up share capital</w:t>
            </w:r>
          </w:p>
        </w:tc>
        <w:tc>
          <w:tcPr>
            <w:tcW w:w="339" w:type="dxa"/>
            <w:tcBorders>
              <w:top w:val="nil"/>
              <w:left w:val="nil"/>
              <w:bottom w:val="nil"/>
              <w:right w:val="nil"/>
            </w:tcBorders>
            <w:shd w:val="clear" w:color="000000" w:fill="FFFFFF"/>
            <w:noWrap/>
            <w:vAlign w:val="bottom"/>
          </w:tcPr>
          <w:p w14:paraId="054E6284"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nil"/>
              <w:left w:val="nil"/>
              <w:right w:val="nil"/>
            </w:tcBorders>
            <w:shd w:val="clear" w:color="000000" w:fill="FFFFFF"/>
            <w:noWrap/>
            <w:vAlign w:val="bottom"/>
          </w:tcPr>
          <w:p w14:paraId="2B260672" w14:textId="6FEBBA73"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073D3D">
              <w:rPr>
                <w:rFonts w:eastAsia="Times New Roman" w:cstheme="minorHAnsi"/>
                <w:b/>
                <w:color w:val="000000"/>
                <w:sz w:val="16"/>
                <w:szCs w:val="16"/>
                <w:lang w:eastAsia="en-GB"/>
              </w:rPr>
              <w:t>9,25</w:t>
            </w:r>
            <w:r w:rsidR="00400D00" w:rsidRPr="00073D3D">
              <w:rPr>
                <w:rFonts w:eastAsia="Times New Roman" w:cstheme="minorHAnsi"/>
                <w:b/>
                <w:color w:val="000000"/>
                <w:sz w:val="16"/>
                <w:szCs w:val="16"/>
                <w:lang w:eastAsia="en-GB"/>
              </w:rPr>
              <w:t>2</w:t>
            </w:r>
          </w:p>
        </w:tc>
        <w:tc>
          <w:tcPr>
            <w:tcW w:w="345" w:type="dxa"/>
            <w:tcBorders>
              <w:top w:val="nil"/>
              <w:left w:val="nil"/>
              <w:bottom w:val="nil"/>
              <w:right w:val="nil"/>
            </w:tcBorders>
            <w:shd w:val="clear" w:color="000000" w:fill="FFFFFF"/>
            <w:noWrap/>
            <w:vAlign w:val="bottom"/>
          </w:tcPr>
          <w:p w14:paraId="6CD2087F"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nil"/>
              <w:left w:val="nil"/>
              <w:right w:val="nil"/>
            </w:tcBorders>
            <w:shd w:val="clear" w:color="000000" w:fill="FFFFFF"/>
            <w:vAlign w:val="bottom"/>
          </w:tcPr>
          <w:p w14:paraId="3A9FDAEC" w14:textId="1D9949FC"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9,252</w:t>
            </w:r>
          </w:p>
        </w:tc>
      </w:tr>
      <w:tr w:rsidR="00692A81" w:rsidRPr="00073D3D" w14:paraId="5009FC54" w14:textId="77777777" w:rsidTr="00B00FCE">
        <w:trPr>
          <w:trHeight w:val="284"/>
        </w:trPr>
        <w:tc>
          <w:tcPr>
            <w:tcW w:w="4961" w:type="dxa"/>
            <w:tcBorders>
              <w:top w:val="nil"/>
              <w:left w:val="nil"/>
              <w:bottom w:val="nil"/>
              <w:right w:val="nil"/>
            </w:tcBorders>
            <w:shd w:val="clear" w:color="000000" w:fill="FFFFFF"/>
            <w:noWrap/>
            <w:vAlign w:val="bottom"/>
          </w:tcPr>
          <w:p w14:paraId="3425AD93" w14:textId="5A274ABC" w:rsidR="00692A81" w:rsidRPr="00073D3D" w:rsidRDefault="00692A81" w:rsidP="00692A81">
            <w:pPr>
              <w:keepLines/>
              <w:widowControl w:val="0"/>
              <w:autoSpaceDE w:val="0"/>
              <w:autoSpaceDN w:val="0"/>
              <w:adjustRightInd w:val="0"/>
              <w:spacing w:after="0" w:line="240" w:lineRule="auto"/>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Share premium</w:t>
            </w:r>
          </w:p>
        </w:tc>
        <w:tc>
          <w:tcPr>
            <w:tcW w:w="339" w:type="dxa"/>
            <w:tcBorders>
              <w:top w:val="nil"/>
              <w:left w:val="nil"/>
              <w:bottom w:val="nil"/>
              <w:right w:val="nil"/>
            </w:tcBorders>
            <w:shd w:val="clear" w:color="000000" w:fill="FFFFFF"/>
            <w:noWrap/>
            <w:vAlign w:val="bottom"/>
          </w:tcPr>
          <w:p w14:paraId="2480B872"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nil"/>
              <w:left w:val="nil"/>
              <w:right w:val="nil"/>
            </w:tcBorders>
            <w:shd w:val="clear" w:color="000000" w:fill="FFFFFF"/>
            <w:noWrap/>
            <w:vAlign w:val="bottom"/>
          </w:tcPr>
          <w:p w14:paraId="7930B14C" w14:textId="4C3A7413"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073D3D">
              <w:rPr>
                <w:rFonts w:eastAsia="Times New Roman" w:cstheme="minorHAnsi"/>
                <w:b/>
                <w:color w:val="000000"/>
                <w:sz w:val="16"/>
                <w:szCs w:val="16"/>
                <w:lang w:eastAsia="en-GB"/>
              </w:rPr>
              <w:t>25,543</w:t>
            </w:r>
          </w:p>
        </w:tc>
        <w:tc>
          <w:tcPr>
            <w:tcW w:w="345" w:type="dxa"/>
            <w:tcBorders>
              <w:top w:val="nil"/>
              <w:left w:val="nil"/>
              <w:bottom w:val="nil"/>
              <w:right w:val="nil"/>
            </w:tcBorders>
            <w:shd w:val="clear" w:color="000000" w:fill="FFFFFF"/>
            <w:noWrap/>
            <w:vAlign w:val="bottom"/>
          </w:tcPr>
          <w:p w14:paraId="5C0EA02D"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nil"/>
              <w:left w:val="nil"/>
              <w:right w:val="nil"/>
            </w:tcBorders>
            <w:shd w:val="clear" w:color="000000" w:fill="FFFFFF"/>
            <w:vAlign w:val="bottom"/>
          </w:tcPr>
          <w:p w14:paraId="554ABDD1" w14:textId="5C6B5FE6"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25,543</w:t>
            </w:r>
          </w:p>
        </w:tc>
      </w:tr>
      <w:tr w:rsidR="00692A81" w:rsidRPr="00073D3D" w14:paraId="798E46EE" w14:textId="77777777" w:rsidTr="00B00FCE">
        <w:trPr>
          <w:trHeight w:val="284"/>
        </w:trPr>
        <w:tc>
          <w:tcPr>
            <w:tcW w:w="4961" w:type="dxa"/>
            <w:tcBorders>
              <w:top w:val="nil"/>
              <w:left w:val="nil"/>
              <w:bottom w:val="nil"/>
              <w:right w:val="nil"/>
            </w:tcBorders>
            <w:shd w:val="clear" w:color="000000" w:fill="FFFFFF"/>
            <w:noWrap/>
            <w:vAlign w:val="bottom"/>
          </w:tcPr>
          <w:p w14:paraId="2A220C8A"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Employee shares</w:t>
            </w:r>
          </w:p>
        </w:tc>
        <w:tc>
          <w:tcPr>
            <w:tcW w:w="339" w:type="dxa"/>
            <w:tcBorders>
              <w:top w:val="nil"/>
              <w:left w:val="nil"/>
              <w:bottom w:val="nil"/>
              <w:right w:val="nil"/>
            </w:tcBorders>
            <w:shd w:val="clear" w:color="000000" w:fill="FFFFFF"/>
            <w:noWrap/>
            <w:vAlign w:val="bottom"/>
          </w:tcPr>
          <w:p w14:paraId="7747E4CB"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nil"/>
              <w:left w:val="nil"/>
              <w:right w:val="nil"/>
            </w:tcBorders>
            <w:shd w:val="clear" w:color="000000" w:fill="FFFFFF"/>
            <w:noWrap/>
            <w:vAlign w:val="bottom"/>
          </w:tcPr>
          <w:p w14:paraId="1C2137B5" w14:textId="0D7E4647" w:rsidR="00692A81" w:rsidRPr="00073D3D" w:rsidRDefault="00A32AF4" w:rsidP="00400D00">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231</w:t>
            </w:r>
          </w:p>
        </w:tc>
        <w:tc>
          <w:tcPr>
            <w:tcW w:w="345" w:type="dxa"/>
            <w:tcBorders>
              <w:top w:val="nil"/>
              <w:left w:val="nil"/>
              <w:bottom w:val="nil"/>
              <w:right w:val="nil"/>
            </w:tcBorders>
            <w:shd w:val="clear" w:color="000000" w:fill="FFFFFF"/>
            <w:noWrap/>
            <w:vAlign w:val="bottom"/>
          </w:tcPr>
          <w:p w14:paraId="4162ED40"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nil"/>
              <w:left w:val="nil"/>
              <w:right w:val="nil"/>
            </w:tcBorders>
            <w:shd w:val="clear" w:color="000000" w:fill="FFFFFF"/>
            <w:vAlign w:val="bottom"/>
          </w:tcPr>
          <w:p w14:paraId="2F81C3E1" w14:textId="6DBB7870" w:rsidR="00692A81" w:rsidRPr="00073D3D" w:rsidRDefault="003748F5"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106</w:t>
            </w:r>
          </w:p>
        </w:tc>
      </w:tr>
      <w:tr w:rsidR="00692A81" w:rsidRPr="00073D3D" w14:paraId="36308E92" w14:textId="77777777" w:rsidTr="00B00FCE">
        <w:trPr>
          <w:trHeight w:val="284"/>
        </w:trPr>
        <w:tc>
          <w:tcPr>
            <w:tcW w:w="4961" w:type="dxa"/>
            <w:tcBorders>
              <w:top w:val="nil"/>
              <w:left w:val="nil"/>
              <w:bottom w:val="nil"/>
              <w:right w:val="nil"/>
            </w:tcBorders>
            <w:shd w:val="clear" w:color="000000" w:fill="FFFFFF"/>
            <w:noWrap/>
            <w:vAlign w:val="bottom"/>
          </w:tcPr>
          <w:p w14:paraId="62440EB2"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Treasury shares</w:t>
            </w:r>
          </w:p>
        </w:tc>
        <w:tc>
          <w:tcPr>
            <w:tcW w:w="339" w:type="dxa"/>
            <w:tcBorders>
              <w:top w:val="nil"/>
              <w:left w:val="nil"/>
              <w:bottom w:val="nil"/>
              <w:right w:val="nil"/>
            </w:tcBorders>
            <w:shd w:val="clear" w:color="000000" w:fill="FFFFFF"/>
            <w:noWrap/>
            <w:vAlign w:val="bottom"/>
          </w:tcPr>
          <w:p w14:paraId="67F4B4C7"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nil"/>
              <w:left w:val="nil"/>
              <w:right w:val="nil"/>
            </w:tcBorders>
            <w:shd w:val="clear" w:color="000000" w:fill="FFFFFF"/>
            <w:noWrap/>
            <w:vAlign w:val="bottom"/>
          </w:tcPr>
          <w:p w14:paraId="31C828A2" w14:textId="7D4B6786"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073D3D">
              <w:rPr>
                <w:rFonts w:eastAsia="Times New Roman" w:cstheme="minorHAnsi"/>
                <w:b/>
                <w:color w:val="000000"/>
                <w:sz w:val="16"/>
                <w:szCs w:val="16"/>
                <w:lang w:eastAsia="en-GB"/>
              </w:rPr>
              <w:t>(</w:t>
            </w:r>
            <w:r w:rsidR="00A32AF4">
              <w:rPr>
                <w:rFonts w:eastAsia="Times New Roman" w:cstheme="minorHAnsi"/>
                <w:b/>
                <w:color w:val="000000"/>
                <w:sz w:val="16"/>
                <w:szCs w:val="16"/>
                <w:lang w:eastAsia="en-GB"/>
              </w:rPr>
              <w:t>770</w:t>
            </w:r>
            <w:r w:rsidRPr="00073D3D">
              <w:rPr>
                <w:rFonts w:eastAsia="Times New Roman" w:cstheme="minorHAnsi"/>
                <w:b/>
                <w:color w:val="000000"/>
                <w:sz w:val="16"/>
                <w:szCs w:val="16"/>
                <w:lang w:eastAsia="en-GB"/>
              </w:rPr>
              <w:t>)</w:t>
            </w:r>
          </w:p>
        </w:tc>
        <w:tc>
          <w:tcPr>
            <w:tcW w:w="345" w:type="dxa"/>
            <w:tcBorders>
              <w:top w:val="nil"/>
              <w:left w:val="nil"/>
              <w:bottom w:val="nil"/>
              <w:right w:val="nil"/>
            </w:tcBorders>
            <w:shd w:val="clear" w:color="000000" w:fill="FFFFFF"/>
            <w:noWrap/>
            <w:vAlign w:val="bottom"/>
          </w:tcPr>
          <w:p w14:paraId="66CBAFBB"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nil"/>
              <w:left w:val="nil"/>
              <w:right w:val="nil"/>
            </w:tcBorders>
            <w:shd w:val="clear" w:color="000000" w:fill="FFFFFF"/>
            <w:vAlign w:val="bottom"/>
          </w:tcPr>
          <w:p w14:paraId="78422BE7" w14:textId="38226711"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w:t>
            </w:r>
            <w:r w:rsidR="003748F5">
              <w:rPr>
                <w:rFonts w:eastAsia="Times New Roman" w:cstheme="minorHAnsi"/>
                <w:bCs/>
                <w:color w:val="000000"/>
                <w:sz w:val="16"/>
                <w:szCs w:val="16"/>
                <w:lang w:eastAsia="en-GB"/>
              </w:rPr>
              <w:t>820</w:t>
            </w:r>
            <w:r w:rsidRPr="00073D3D">
              <w:rPr>
                <w:rFonts w:eastAsia="Times New Roman" w:cstheme="minorHAnsi"/>
                <w:bCs/>
                <w:color w:val="000000"/>
                <w:sz w:val="16"/>
                <w:szCs w:val="16"/>
                <w:lang w:eastAsia="en-GB"/>
              </w:rPr>
              <w:t>)</w:t>
            </w:r>
          </w:p>
        </w:tc>
      </w:tr>
      <w:tr w:rsidR="00692A81" w:rsidRPr="00073D3D" w14:paraId="62AD4ED4" w14:textId="77777777" w:rsidTr="00B00FCE">
        <w:trPr>
          <w:trHeight w:val="283"/>
        </w:trPr>
        <w:tc>
          <w:tcPr>
            <w:tcW w:w="4961" w:type="dxa"/>
            <w:tcBorders>
              <w:top w:val="nil"/>
              <w:left w:val="nil"/>
              <w:bottom w:val="nil"/>
              <w:right w:val="nil"/>
            </w:tcBorders>
            <w:shd w:val="clear" w:color="000000" w:fill="FFFFFF"/>
            <w:noWrap/>
            <w:vAlign w:val="bottom"/>
            <w:hideMark/>
          </w:tcPr>
          <w:p w14:paraId="7FDA421D"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b/>
                <w:bCs/>
                <w:color w:val="000000"/>
                <w:sz w:val="16"/>
                <w:szCs w:val="16"/>
                <w:lang w:eastAsia="en-GB"/>
              </w:rPr>
            </w:pPr>
            <w:r w:rsidRPr="00073D3D">
              <w:rPr>
                <w:rFonts w:eastAsia="Times New Roman" w:cstheme="minorHAnsi"/>
                <w:color w:val="000000"/>
                <w:sz w:val="16"/>
                <w:szCs w:val="16"/>
                <w:lang w:eastAsia="en-GB"/>
              </w:rPr>
              <w:t>Retained earnings</w:t>
            </w:r>
          </w:p>
        </w:tc>
        <w:tc>
          <w:tcPr>
            <w:tcW w:w="339" w:type="dxa"/>
            <w:tcBorders>
              <w:top w:val="nil"/>
              <w:left w:val="nil"/>
              <w:bottom w:val="nil"/>
              <w:right w:val="nil"/>
            </w:tcBorders>
            <w:shd w:val="clear" w:color="000000" w:fill="FFFFFF"/>
            <w:noWrap/>
            <w:vAlign w:val="bottom"/>
            <w:hideMark/>
          </w:tcPr>
          <w:p w14:paraId="732752E2"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 </w:t>
            </w:r>
          </w:p>
        </w:tc>
        <w:tc>
          <w:tcPr>
            <w:tcW w:w="2076" w:type="dxa"/>
            <w:tcBorders>
              <w:top w:val="nil"/>
              <w:left w:val="nil"/>
              <w:bottom w:val="single" w:sz="4" w:space="0" w:color="auto"/>
              <w:right w:val="nil"/>
            </w:tcBorders>
            <w:shd w:val="clear" w:color="000000" w:fill="FFFFFF"/>
            <w:noWrap/>
            <w:vAlign w:val="bottom"/>
            <w:hideMark/>
          </w:tcPr>
          <w:p w14:paraId="46A3AE26" w14:textId="2EAFD8C1" w:rsidR="00692A81" w:rsidRPr="00073D3D" w:rsidRDefault="00400D00"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073D3D">
              <w:rPr>
                <w:rFonts w:eastAsia="Times New Roman" w:cstheme="minorHAnsi"/>
                <w:b/>
                <w:color w:val="000000"/>
                <w:sz w:val="16"/>
                <w:szCs w:val="16"/>
                <w:lang w:eastAsia="en-GB"/>
              </w:rPr>
              <w:t>2</w:t>
            </w:r>
            <w:r w:rsidR="00A32AF4">
              <w:rPr>
                <w:rFonts w:eastAsia="Times New Roman" w:cstheme="minorHAnsi"/>
                <w:b/>
                <w:color w:val="000000"/>
                <w:sz w:val="16"/>
                <w:szCs w:val="16"/>
                <w:lang w:eastAsia="en-GB"/>
              </w:rPr>
              <w:t>7,419</w:t>
            </w:r>
          </w:p>
        </w:tc>
        <w:tc>
          <w:tcPr>
            <w:tcW w:w="345" w:type="dxa"/>
            <w:tcBorders>
              <w:top w:val="nil"/>
              <w:left w:val="nil"/>
              <w:bottom w:val="nil"/>
              <w:right w:val="nil"/>
            </w:tcBorders>
            <w:shd w:val="clear" w:color="000000" w:fill="FFFFFF"/>
            <w:noWrap/>
            <w:vAlign w:val="bottom"/>
            <w:hideMark/>
          </w:tcPr>
          <w:p w14:paraId="105CC000"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r w:rsidRPr="00073D3D">
              <w:rPr>
                <w:rFonts w:eastAsia="Times New Roman" w:cstheme="minorHAnsi"/>
                <w:color w:val="FF0000"/>
                <w:sz w:val="16"/>
                <w:szCs w:val="16"/>
                <w:lang w:eastAsia="en-GB"/>
              </w:rPr>
              <w:t> </w:t>
            </w:r>
          </w:p>
        </w:tc>
        <w:tc>
          <w:tcPr>
            <w:tcW w:w="1635" w:type="dxa"/>
            <w:tcBorders>
              <w:top w:val="nil"/>
              <w:left w:val="nil"/>
              <w:bottom w:val="single" w:sz="4" w:space="0" w:color="auto"/>
              <w:right w:val="nil"/>
            </w:tcBorders>
            <w:shd w:val="clear" w:color="000000" w:fill="FFFFFF"/>
            <w:vAlign w:val="bottom"/>
          </w:tcPr>
          <w:p w14:paraId="69228D62" w14:textId="0FB1181D"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23,</w:t>
            </w:r>
            <w:r w:rsidR="003748F5">
              <w:rPr>
                <w:rFonts w:eastAsia="Times New Roman" w:cstheme="minorHAnsi"/>
                <w:bCs/>
                <w:color w:val="000000"/>
                <w:sz w:val="16"/>
                <w:szCs w:val="16"/>
                <w:lang w:eastAsia="en-GB"/>
              </w:rPr>
              <w:t>972</w:t>
            </w:r>
          </w:p>
        </w:tc>
      </w:tr>
      <w:tr w:rsidR="00692A81" w:rsidRPr="00073D3D" w14:paraId="3127E583" w14:textId="77777777" w:rsidTr="00B00FCE">
        <w:trPr>
          <w:trHeight w:val="253"/>
        </w:trPr>
        <w:tc>
          <w:tcPr>
            <w:tcW w:w="4961" w:type="dxa"/>
            <w:tcBorders>
              <w:top w:val="nil"/>
              <w:left w:val="nil"/>
              <w:bottom w:val="nil"/>
              <w:right w:val="nil"/>
            </w:tcBorders>
            <w:shd w:val="clear" w:color="000000" w:fill="FFFFFF"/>
            <w:noWrap/>
            <w:vAlign w:val="bottom"/>
            <w:hideMark/>
          </w:tcPr>
          <w:p w14:paraId="2DB6075D"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b/>
                <w:bCs/>
                <w:color w:val="000000"/>
                <w:sz w:val="16"/>
                <w:szCs w:val="16"/>
                <w:lang w:eastAsia="en-GB"/>
              </w:rPr>
              <w:t>TOTAL EQUITY</w:t>
            </w:r>
          </w:p>
        </w:tc>
        <w:tc>
          <w:tcPr>
            <w:tcW w:w="339" w:type="dxa"/>
            <w:tcBorders>
              <w:top w:val="nil"/>
              <w:left w:val="nil"/>
              <w:bottom w:val="nil"/>
              <w:right w:val="nil"/>
            </w:tcBorders>
            <w:shd w:val="clear" w:color="000000" w:fill="FFFFFF"/>
            <w:noWrap/>
            <w:vAlign w:val="bottom"/>
            <w:hideMark/>
          </w:tcPr>
          <w:p w14:paraId="3B45474A"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single" w:sz="4" w:space="0" w:color="auto"/>
              <w:left w:val="nil"/>
              <w:bottom w:val="single" w:sz="4" w:space="0" w:color="auto"/>
              <w:right w:val="nil"/>
            </w:tcBorders>
            <w:shd w:val="clear" w:color="000000" w:fill="FFFFFF"/>
            <w:noWrap/>
            <w:vAlign w:val="bottom"/>
            <w:hideMark/>
          </w:tcPr>
          <w:p w14:paraId="6BCCA6D1" w14:textId="25A5B8B2" w:rsidR="00692A81" w:rsidRPr="00073D3D" w:rsidRDefault="00A32AF4"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61,675</w:t>
            </w:r>
          </w:p>
        </w:tc>
        <w:tc>
          <w:tcPr>
            <w:tcW w:w="345" w:type="dxa"/>
            <w:tcBorders>
              <w:top w:val="nil"/>
              <w:left w:val="nil"/>
              <w:bottom w:val="nil"/>
              <w:right w:val="nil"/>
            </w:tcBorders>
            <w:shd w:val="clear" w:color="000000" w:fill="FFFFFF"/>
            <w:noWrap/>
            <w:vAlign w:val="bottom"/>
            <w:hideMark/>
          </w:tcPr>
          <w:p w14:paraId="25287DF6"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single" w:sz="4" w:space="0" w:color="auto"/>
              <w:left w:val="nil"/>
              <w:bottom w:val="single" w:sz="4" w:space="0" w:color="auto"/>
              <w:right w:val="nil"/>
            </w:tcBorders>
            <w:shd w:val="clear" w:color="000000" w:fill="FFFFFF"/>
            <w:vAlign w:val="bottom"/>
          </w:tcPr>
          <w:p w14:paraId="4FB62C4B" w14:textId="7A7CC562"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5</w:t>
            </w:r>
            <w:r w:rsidR="003748F5">
              <w:rPr>
                <w:rFonts w:eastAsia="Times New Roman" w:cstheme="minorHAnsi"/>
                <w:bCs/>
                <w:color w:val="000000"/>
                <w:sz w:val="16"/>
                <w:szCs w:val="16"/>
                <w:lang w:eastAsia="en-GB"/>
              </w:rPr>
              <w:t>8,053</w:t>
            </w:r>
          </w:p>
        </w:tc>
      </w:tr>
      <w:tr w:rsidR="00692A81" w:rsidRPr="00073D3D" w14:paraId="23C2AA4B" w14:textId="77777777" w:rsidTr="00B00FCE">
        <w:trPr>
          <w:trHeight w:val="58"/>
        </w:trPr>
        <w:tc>
          <w:tcPr>
            <w:tcW w:w="4961" w:type="dxa"/>
            <w:tcBorders>
              <w:top w:val="nil"/>
              <w:left w:val="nil"/>
              <w:bottom w:val="nil"/>
              <w:right w:val="nil"/>
            </w:tcBorders>
            <w:shd w:val="clear" w:color="000000" w:fill="FFFFFF"/>
            <w:noWrap/>
            <w:vAlign w:val="bottom"/>
          </w:tcPr>
          <w:p w14:paraId="629CB1AC"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339" w:type="dxa"/>
            <w:tcBorders>
              <w:top w:val="nil"/>
              <w:left w:val="nil"/>
              <w:bottom w:val="nil"/>
              <w:right w:val="nil"/>
            </w:tcBorders>
            <w:shd w:val="clear" w:color="000000" w:fill="FFFFFF"/>
            <w:noWrap/>
            <w:vAlign w:val="bottom"/>
          </w:tcPr>
          <w:p w14:paraId="30590095"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single" w:sz="4" w:space="0" w:color="auto"/>
              <w:left w:val="nil"/>
              <w:bottom w:val="nil"/>
              <w:right w:val="nil"/>
            </w:tcBorders>
            <w:shd w:val="clear" w:color="000000" w:fill="FFFFFF"/>
            <w:noWrap/>
            <w:vAlign w:val="bottom"/>
          </w:tcPr>
          <w:p w14:paraId="61781996"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345" w:type="dxa"/>
            <w:tcBorders>
              <w:top w:val="nil"/>
              <w:left w:val="nil"/>
              <w:bottom w:val="nil"/>
              <w:right w:val="nil"/>
            </w:tcBorders>
            <w:shd w:val="clear" w:color="000000" w:fill="FFFFFF"/>
            <w:noWrap/>
            <w:vAlign w:val="bottom"/>
          </w:tcPr>
          <w:p w14:paraId="577A77F1"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single" w:sz="4" w:space="0" w:color="auto"/>
              <w:left w:val="nil"/>
              <w:bottom w:val="nil"/>
              <w:right w:val="nil"/>
            </w:tcBorders>
            <w:shd w:val="clear" w:color="000000" w:fill="FFFFFF"/>
            <w:vAlign w:val="bottom"/>
          </w:tcPr>
          <w:p w14:paraId="7131A878"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p>
        </w:tc>
      </w:tr>
      <w:tr w:rsidR="00692A81" w:rsidRPr="00073D3D" w14:paraId="39CF65DD" w14:textId="77777777" w:rsidTr="00B00FCE">
        <w:trPr>
          <w:trHeight w:val="315"/>
        </w:trPr>
        <w:tc>
          <w:tcPr>
            <w:tcW w:w="4961" w:type="dxa"/>
            <w:tcBorders>
              <w:top w:val="nil"/>
              <w:left w:val="nil"/>
              <w:bottom w:val="nil"/>
              <w:right w:val="nil"/>
            </w:tcBorders>
            <w:shd w:val="clear" w:color="000000" w:fill="FFFFFF"/>
            <w:noWrap/>
            <w:vAlign w:val="bottom"/>
          </w:tcPr>
          <w:p w14:paraId="7E0BC9CC"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b/>
                <w:color w:val="000000"/>
                <w:sz w:val="16"/>
                <w:szCs w:val="16"/>
                <w:lang w:eastAsia="en-GB"/>
              </w:rPr>
            </w:pPr>
            <w:r w:rsidRPr="00073D3D">
              <w:rPr>
                <w:rFonts w:eastAsia="Times New Roman" w:cstheme="minorHAnsi"/>
                <w:b/>
                <w:color w:val="000000"/>
                <w:sz w:val="16"/>
                <w:szCs w:val="16"/>
                <w:lang w:eastAsia="en-GB"/>
              </w:rPr>
              <w:t>LIABILITIES</w:t>
            </w:r>
          </w:p>
        </w:tc>
        <w:tc>
          <w:tcPr>
            <w:tcW w:w="339" w:type="dxa"/>
            <w:tcBorders>
              <w:top w:val="nil"/>
              <w:left w:val="nil"/>
              <w:bottom w:val="nil"/>
              <w:right w:val="nil"/>
            </w:tcBorders>
            <w:shd w:val="clear" w:color="000000" w:fill="FFFFFF"/>
            <w:noWrap/>
            <w:vAlign w:val="bottom"/>
          </w:tcPr>
          <w:p w14:paraId="25498D0C"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left w:val="nil"/>
              <w:bottom w:val="nil"/>
              <w:right w:val="nil"/>
            </w:tcBorders>
            <w:shd w:val="clear" w:color="000000" w:fill="FFFFFF"/>
            <w:noWrap/>
            <w:vAlign w:val="bottom"/>
          </w:tcPr>
          <w:p w14:paraId="11B4DB9B"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345" w:type="dxa"/>
            <w:tcBorders>
              <w:top w:val="nil"/>
              <w:left w:val="nil"/>
              <w:bottom w:val="nil"/>
              <w:right w:val="nil"/>
            </w:tcBorders>
            <w:shd w:val="clear" w:color="000000" w:fill="FFFFFF"/>
            <w:noWrap/>
            <w:vAlign w:val="bottom"/>
          </w:tcPr>
          <w:p w14:paraId="62597F68"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left w:val="nil"/>
              <w:bottom w:val="nil"/>
              <w:right w:val="nil"/>
            </w:tcBorders>
            <w:shd w:val="clear" w:color="000000" w:fill="FFFFFF"/>
            <w:vAlign w:val="bottom"/>
          </w:tcPr>
          <w:p w14:paraId="6D3B174E"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p>
        </w:tc>
      </w:tr>
      <w:tr w:rsidR="00692A81" w:rsidRPr="00073D3D" w14:paraId="573041C2" w14:textId="77777777" w:rsidTr="00B00FCE">
        <w:trPr>
          <w:trHeight w:val="315"/>
        </w:trPr>
        <w:tc>
          <w:tcPr>
            <w:tcW w:w="4961" w:type="dxa"/>
            <w:tcBorders>
              <w:top w:val="nil"/>
              <w:left w:val="nil"/>
              <w:bottom w:val="nil"/>
              <w:right w:val="nil"/>
            </w:tcBorders>
            <w:shd w:val="clear" w:color="000000" w:fill="FFFFFF"/>
            <w:noWrap/>
            <w:vAlign w:val="bottom"/>
          </w:tcPr>
          <w:p w14:paraId="6483AA9F"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b/>
                <w:color w:val="000000"/>
                <w:sz w:val="16"/>
                <w:szCs w:val="16"/>
                <w:lang w:eastAsia="en-GB"/>
              </w:rPr>
            </w:pPr>
            <w:r w:rsidRPr="00073D3D">
              <w:rPr>
                <w:rFonts w:eastAsia="Times New Roman" w:cstheme="minorHAnsi"/>
                <w:b/>
                <w:color w:val="000000"/>
                <w:sz w:val="16"/>
                <w:szCs w:val="16"/>
                <w:lang w:eastAsia="en-GB"/>
              </w:rPr>
              <w:t>NON-CURRENT LIABILITIES</w:t>
            </w:r>
          </w:p>
        </w:tc>
        <w:tc>
          <w:tcPr>
            <w:tcW w:w="339" w:type="dxa"/>
            <w:tcBorders>
              <w:top w:val="nil"/>
              <w:left w:val="nil"/>
              <w:bottom w:val="nil"/>
              <w:right w:val="nil"/>
            </w:tcBorders>
            <w:shd w:val="clear" w:color="000000" w:fill="FFFFFF"/>
            <w:noWrap/>
            <w:vAlign w:val="bottom"/>
          </w:tcPr>
          <w:p w14:paraId="2A357FB6"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left w:val="nil"/>
              <w:bottom w:val="nil"/>
              <w:right w:val="nil"/>
            </w:tcBorders>
            <w:shd w:val="clear" w:color="000000" w:fill="FFFFFF"/>
            <w:noWrap/>
            <w:vAlign w:val="bottom"/>
          </w:tcPr>
          <w:p w14:paraId="61713CCF"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345" w:type="dxa"/>
            <w:tcBorders>
              <w:top w:val="nil"/>
              <w:left w:val="nil"/>
              <w:bottom w:val="nil"/>
              <w:right w:val="nil"/>
            </w:tcBorders>
            <w:shd w:val="clear" w:color="000000" w:fill="FFFFFF"/>
            <w:noWrap/>
            <w:vAlign w:val="bottom"/>
          </w:tcPr>
          <w:p w14:paraId="5036CD48"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left w:val="nil"/>
              <w:bottom w:val="nil"/>
              <w:right w:val="nil"/>
            </w:tcBorders>
            <w:shd w:val="clear" w:color="000000" w:fill="FFFFFF"/>
            <w:vAlign w:val="bottom"/>
          </w:tcPr>
          <w:p w14:paraId="28772C05"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p>
        </w:tc>
      </w:tr>
      <w:tr w:rsidR="00692A81" w:rsidRPr="00073D3D" w14:paraId="2B0CFF66" w14:textId="77777777" w:rsidTr="00B00FCE">
        <w:trPr>
          <w:trHeight w:val="315"/>
        </w:trPr>
        <w:tc>
          <w:tcPr>
            <w:tcW w:w="4961" w:type="dxa"/>
            <w:tcBorders>
              <w:top w:val="nil"/>
              <w:left w:val="nil"/>
              <w:bottom w:val="nil"/>
              <w:right w:val="nil"/>
            </w:tcBorders>
            <w:shd w:val="clear" w:color="000000" w:fill="FFFFFF"/>
            <w:noWrap/>
            <w:vAlign w:val="bottom"/>
          </w:tcPr>
          <w:p w14:paraId="71578F75"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Trade and other payables</w:t>
            </w:r>
          </w:p>
        </w:tc>
        <w:tc>
          <w:tcPr>
            <w:tcW w:w="339" w:type="dxa"/>
            <w:tcBorders>
              <w:top w:val="nil"/>
              <w:left w:val="nil"/>
              <w:bottom w:val="nil"/>
              <w:right w:val="nil"/>
            </w:tcBorders>
            <w:shd w:val="clear" w:color="000000" w:fill="FFFFFF"/>
            <w:noWrap/>
            <w:vAlign w:val="bottom"/>
          </w:tcPr>
          <w:p w14:paraId="47276F7E"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left w:val="nil"/>
              <w:bottom w:val="nil"/>
              <w:right w:val="nil"/>
            </w:tcBorders>
            <w:shd w:val="clear" w:color="000000" w:fill="FFFFFF"/>
            <w:noWrap/>
            <w:vAlign w:val="bottom"/>
          </w:tcPr>
          <w:p w14:paraId="4EED1581" w14:textId="2172C8B1" w:rsidR="00692A81" w:rsidRPr="00073D3D" w:rsidRDefault="00A32AF4"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52,822</w:t>
            </w:r>
          </w:p>
        </w:tc>
        <w:tc>
          <w:tcPr>
            <w:tcW w:w="345" w:type="dxa"/>
            <w:tcBorders>
              <w:top w:val="nil"/>
              <w:left w:val="nil"/>
              <w:bottom w:val="nil"/>
              <w:right w:val="nil"/>
            </w:tcBorders>
            <w:shd w:val="clear" w:color="000000" w:fill="FFFFFF"/>
            <w:noWrap/>
            <w:vAlign w:val="bottom"/>
          </w:tcPr>
          <w:p w14:paraId="785EE2CE"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left w:val="nil"/>
              <w:bottom w:val="nil"/>
              <w:right w:val="nil"/>
            </w:tcBorders>
            <w:shd w:val="clear" w:color="000000" w:fill="FFFFFF"/>
            <w:vAlign w:val="bottom"/>
          </w:tcPr>
          <w:p w14:paraId="0442749A" w14:textId="48E83E68"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3</w:t>
            </w:r>
            <w:r w:rsidR="003748F5">
              <w:rPr>
                <w:rFonts w:eastAsia="Times New Roman" w:cstheme="minorHAnsi"/>
                <w:bCs/>
                <w:color w:val="000000"/>
                <w:sz w:val="16"/>
                <w:szCs w:val="16"/>
                <w:lang w:eastAsia="en-GB"/>
              </w:rPr>
              <w:t>9,033</w:t>
            </w:r>
          </w:p>
        </w:tc>
      </w:tr>
      <w:tr w:rsidR="00692A81" w:rsidRPr="00073D3D" w14:paraId="2A832E36" w14:textId="77777777" w:rsidTr="00D168DF">
        <w:trPr>
          <w:trHeight w:val="315"/>
        </w:trPr>
        <w:tc>
          <w:tcPr>
            <w:tcW w:w="4961" w:type="dxa"/>
            <w:tcBorders>
              <w:top w:val="nil"/>
              <w:left w:val="nil"/>
              <w:bottom w:val="nil"/>
              <w:right w:val="nil"/>
            </w:tcBorders>
            <w:shd w:val="clear" w:color="000000" w:fill="FFFFFF"/>
            <w:noWrap/>
            <w:vAlign w:val="bottom"/>
          </w:tcPr>
          <w:p w14:paraId="2CAEADC5" w14:textId="306AE2D1"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Financial liabilities – borrowings</w:t>
            </w:r>
          </w:p>
        </w:tc>
        <w:tc>
          <w:tcPr>
            <w:tcW w:w="339" w:type="dxa"/>
            <w:tcBorders>
              <w:top w:val="nil"/>
              <w:left w:val="nil"/>
              <w:bottom w:val="nil"/>
              <w:right w:val="nil"/>
            </w:tcBorders>
            <w:shd w:val="clear" w:color="000000" w:fill="FFFFFF"/>
            <w:noWrap/>
            <w:vAlign w:val="bottom"/>
          </w:tcPr>
          <w:p w14:paraId="444D1D82"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left w:val="nil"/>
              <w:right w:val="nil"/>
            </w:tcBorders>
            <w:shd w:val="clear" w:color="000000" w:fill="FFFFFF"/>
            <w:noWrap/>
            <w:vAlign w:val="bottom"/>
          </w:tcPr>
          <w:p w14:paraId="5D71CDE1" w14:textId="368F8743" w:rsidR="00692A81" w:rsidRPr="00073D3D" w:rsidRDefault="00B0620F"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1,319</w:t>
            </w:r>
          </w:p>
        </w:tc>
        <w:tc>
          <w:tcPr>
            <w:tcW w:w="345" w:type="dxa"/>
            <w:tcBorders>
              <w:top w:val="nil"/>
              <w:left w:val="nil"/>
              <w:right w:val="nil"/>
            </w:tcBorders>
            <w:shd w:val="clear" w:color="000000" w:fill="FFFFFF"/>
            <w:noWrap/>
            <w:vAlign w:val="bottom"/>
          </w:tcPr>
          <w:p w14:paraId="71F41FC7"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left w:val="nil"/>
              <w:right w:val="nil"/>
            </w:tcBorders>
            <w:shd w:val="clear" w:color="000000" w:fill="FFFFFF"/>
            <w:vAlign w:val="bottom"/>
          </w:tcPr>
          <w:p w14:paraId="3A0A24D2" w14:textId="502C99F2" w:rsidR="00692A81" w:rsidRPr="00073D3D" w:rsidRDefault="003748F5"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2,344</w:t>
            </w:r>
          </w:p>
        </w:tc>
      </w:tr>
      <w:tr w:rsidR="00692A81" w:rsidRPr="00073D3D" w14:paraId="23A28F90" w14:textId="77777777" w:rsidTr="00D168DF">
        <w:trPr>
          <w:trHeight w:val="315"/>
        </w:trPr>
        <w:tc>
          <w:tcPr>
            <w:tcW w:w="4961" w:type="dxa"/>
            <w:tcBorders>
              <w:top w:val="nil"/>
              <w:left w:val="nil"/>
              <w:bottom w:val="nil"/>
              <w:right w:val="nil"/>
            </w:tcBorders>
            <w:shd w:val="clear" w:color="000000" w:fill="FFFFFF"/>
            <w:noWrap/>
            <w:vAlign w:val="bottom"/>
          </w:tcPr>
          <w:p w14:paraId="2431E6C0" w14:textId="3BB720EC"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Lease Liability</w:t>
            </w:r>
          </w:p>
        </w:tc>
        <w:tc>
          <w:tcPr>
            <w:tcW w:w="339" w:type="dxa"/>
            <w:tcBorders>
              <w:top w:val="nil"/>
              <w:left w:val="nil"/>
              <w:bottom w:val="nil"/>
              <w:right w:val="nil"/>
            </w:tcBorders>
            <w:shd w:val="clear" w:color="000000" w:fill="FFFFFF"/>
            <w:noWrap/>
            <w:vAlign w:val="bottom"/>
          </w:tcPr>
          <w:p w14:paraId="296E0893"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left w:val="nil"/>
              <w:bottom w:val="single" w:sz="4" w:space="0" w:color="auto"/>
              <w:right w:val="nil"/>
            </w:tcBorders>
            <w:shd w:val="clear" w:color="000000" w:fill="FFFFFF"/>
            <w:noWrap/>
            <w:vAlign w:val="bottom"/>
          </w:tcPr>
          <w:p w14:paraId="7D4BCB69" w14:textId="19F1E7A6" w:rsidR="00692A81" w:rsidRPr="00073D3D" w:rsidRDefault="00B0620F"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428</w:t>
            </w:r>
          </w:p>
        </w:tc>
        <w:tc>
          <w:tcPr>
            <w:tcW w:w="345" w:type="dxa"/>
            <w:tcBorders>
              <w:left w:val="nil"/>
              <w:bottom w:val="nil"/>
              <w:right w:val="nil"/>
            </w:tcBorders>
            <w:shd w:val="clear" w:color="000000" w:fill="FFFFFF"/>
            <w:noWrap/>
            <w:vAlign w:val="bottom"/>
          </w:tcPr>
          <w:p w14:paraId="5FC77D71"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left w:val="nil"/>
              <w:bottom w:val="single" w:sz="4" w:space="0" w:color="auto"/>
              <w:right w:val="nil"/>
            </w:tcBorders>
            <w:shd w:val="clear" w:color="000000" w:fill="FFFFFF"/>
            <w:vAlign w:val="bottom"/>
          </w:tcPr>
          <w:p w14:paraId="03245376" w14:textId="7BAE3163" w:rsidR="00692A81" w:rsidRPr="00073D3D" w:rsidRDefault="003748F5"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w:t>
            </w:r>
          </w:p>
        </w:tc>
      </w:tr>
      <w:tr w:rsidR="00692A81" w:rsidRPr="00073D3D" w14:paraId="2D9CD57B" w14:textId="77777777" w:rsidTr="00B00FCE">
        <w:trPr>
          <w:trHeight w:val="156"/>
        </w:trPr>
        <w:tc>
          <w:tcPr>
            <w:tcW w:w="4961" w:type="dxa"/>
            <w:tcBorders>
              <w:top w:val="nil"/>
              <w:left w:val="nil"/>
              <w:bottom w:val="nil"/>
              <w:right w:val="nil"/>
            </w:tcBorders>
            <w:shd w:val="clear" w:color="000000" w:fill="FFFFFF"/>
            <w:noWrap/>
            <w:vAlign w:val="bottom"/>
          </w:tcPr>
          <w:p w14:paraId="7EF61667"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339" w:type="dxa"/>
            <w:tcBorders>
              <w:top w:val="nil"/>
              <w:left w:val="nil"/>
              <w:bottom w:val="nil"/>
              <w:right w:val="nil"/>
            </w:tcBorders>
            <w:shd w:val="clear" w:color="000000" w:fill="FFFFFF"/>
            <w:noWrap/>
            <w:vAlign w:val="bottom"/>
          </w:tcPr>
          <w:p w14:paraId="41C66813"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left w:val="nil"/>
              <w:bottom w:val="single" w:sz="4" w:space="0" w:color="auto"/>
              <w:right w:val="nil"/>
            </w:tcBorders>
            <w:shd w:val="clear" w:color="000000" w:fill="FFFFFF"/>
            <w:noWrap/>
            <w:vAlign w:val="bottom"/>
          </w:tcPr>
          <w:p w14:paraId="73938813" w14:textId="7908EA3D" w:rsidR="00692A81" w:rsidRPr="00073D3D" w:rsidRDefault="00B0620F"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54,569</w:t>
            </w:r>
          </w:p>
        </w:tc>
        <w:tc>
          <w:tcPr>
            <w:tcW w:w="345" w:type="dxa"/>
            <w:tcBorders>
              <w:top w:val="nil"/>
              <w:left w:val="nil"/>
              <w:bottom w:val="nil"/>
              <w:right w:val="nil"/>
            </w:tcBorders>
            <w:shd w:val="clear" w:color="000000" w:fill="FFFFFF"/>
            <w:noWrap/>
            <w:vAlign w:val="bottom"/>
          </w:tcPr>
          <w:p w14:paraId="7DD845AC"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1635" w:type="dxa"/>
            <w:tcBorders>
              <w:left w:val="nil"/>
              <w:bottom w:val="single" w:sz="4" w:space="0" w:color="auto"/>
              <w:right w:val="nil"/>
            </w:tcBorders>
            <w:shd w:val="clear" w:color="000000" w:fill="FFFFFF"/>
            <w:vAlign w:val="bottom"/>
          </w:tcPr>
          <w:p w14:paraId="28E6499F" w14:textId="5F15B82F" w:rsidR="00692A81" w:rsidRPr="00073D3D" w:rsidRDefault="003748F5"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41,377</w:t>
            </w:r>
          </w:p>
        </w:tc>
      </w:tr>
      <w:tr w:rsidR="00692A81" w:rsidRPr="00073D3D" w14:paraId="6AECB77C" w14:textId="77777777" w:rsidTr="00B00FCE">
        <w:trPr>
          <w:trHeight w:val="315"/>
        </w:trPr>
        <w:tc>
          <w:tcPr>
            <w:tcW w:w="4961" w:type="dxa"/>
            <w:tcBorders>
              <w:top w:val="nil"/>
              <w:left w:val="nil"/>
              <w:bottom w:val="nil"/>
              <w:right w:val="nil"/>
            </w:tcBorders>
            <w:shd w:val="clear" w:color="000000" w:fill="FFFFFF"/>
            <w:noWrap/>
            <w:vAlign w:val="bottom"/>
          </w:tcPr>
          <w:p w14:paraId="6619CF74"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b/>
                <w:color w:val="000000"/>
                <w:sz w:val="16"/>
                <w:szCs w:val="16"/>
                <w:lang w:eastAsia="en-GB"/>
              </w:rPr>
              <w:t>CURRENT LIABILITIES</w:t>
            </w:r>
          </w:p>
        </w:tc>
        <w:tc>
          <w:tcPr>
            <w:tcW w:w="339" w:type="dxa"/>
            <w:tcBorders>
              <w:top w:val="nil"/>
              <w:left w:val="nil"/>
              <w:bottom w:val="nil"/>
              <w:right w:val="nil"/>
            </w:tcBorders>
            <w:shd w:val="clear" w:color="000000" w:fill="FFFFFF"/>
            <w:noWrap/>
            <w:vAlign w:val="bottom"/>
          </w:tcPr>
          <w:p w14:paraId="07388E3B"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left w:val="nil"/>
              <w:bottom w:val="nil"/>
              <w:right w:val="nil"/>
            </w:tcBorders>
            <w:shd w:val="clear" w:color="000000" w:fill="FFFFFF"/>
            <w:noWrap/>
            <w:vAlign w:val="bottom"/>
          </w:tcPr>
          <w:p w14:paraId="1FB50EEE"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345" w:type="dxa"/>
            <w:tcBorders>
              <w:top w:val="nil"/>
              <w:left w:val="nil"/>
              <w:bottom w:val="nil"/>
              <w:right w:val="nil"/>
            </w:tcBorders>
            <w:shd w:val="clear" w:color="000000" w:fill="FFFFFF"/>
            <w:noWrap/>
            <w:vAlign w:val="bottom"/>
          </w:tcPr>
          <w:p w14:paraId="000A7B5C"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left w:val="nil"/>
              <w:bottom w:val="nil"/>
              <w:right w:val="nil"/>
            </w:tcBorders>
            <w:shd w:val="clear" w:color="000000" w:fill="FFFFFF"/>
            <w:vAlign w:val="bottom"/>
          </w:tcPr>
          <w:p w14:paraId="4300E5DD"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p>
        </w:tc>
      </w:tr>
      <w:tr w:rsidR="00692A81" w:rsidRPr="00073D3D" w14:paraId="102174B1" w14:textId="77777777" w:rsidTr="00B00FCE">
        <w:trPr>
          <w:trHeight w:val="315"/>
        </w:trPr>
        <w:tc>
          <w:tcPr>
            <w:tcW w:w="4961" w:type="dxa"/>
            <w:tcBorders>
              <w:top w:val="nil"/>
              <w:left w:val="nil"/>
              <w:bottom w:val="nil"/>
              <w:right w:val="nil"/>
            </w:tcBorders>
            <w:shd w:val="clear" w:color="000000" w:fill="FFFFFF"/>
            <w:noWrap/>
            <w:vAlign w:val="bottom"/>
          </w:tcPr>
          <w:p w14:paraId="16481100"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Trade and other payables</w:t>
            </w:r>
          </w:p>
        </w:tc>
        <w:tc>
          <w:tcPr>
            <w:tcW w:w="339" w:type="dxa"/>
            <w:tcBorders>
              <w:top w:val="nil"/>
              <w:left w:val="nil"/>
              <w:bottom w:val="nil"/>
              <w:right w:val="nil"/>
            </w:tcBorders>
            <w:shd w:val="clear" w:color="000000" w:fill="FFFFFF"/>
            <w:noWrap/>
            <w:vAlign w:val="bottom"/>
          </w:tcPr>
          <w:p w14:paraId="65C0F7B4"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left w:val="nil"/>
              <w:bottom w:val="nil"/>
              <w:right w:val="nil"/>
            </w:tcBorders>
            <w:shd w:val="clear" w:color="000000" w:fill="FFFFFF"/>
            <w:noWrap/>
            <w:vAlign w:val="bottom"/>
          </w:tcPr>
          <w:p w14:paraId="36EB91E7" w14:textId="3C92CD78" w:rsidR="00692A81" w:rsidRPr="00073D3D" w:rsidRDefault="00F74F12"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65,207</w:t>
            </w:r>
          </w:p>
        </w:tc>
        <w:tc>
          <w:tcPr>
            <w:tcW w:w="345" w:type="dxa"/>
            <w:tcBorders>
              <w:top w:val="nil"/>
              <w:left w:val="nil"/>
              <w:bottom w:val="nil"/>
              <w:right w:val="nil"/>
            </w:tcBorders>
            <w:shd w:val="clear" w:color="000000" w:fill="FFFFFF"/>
            <w:noWrap/>
            <w:vAlign w:val="bottom"/>
          </w:tcPr>
          <w:p w14:paraId="064918C6"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left w:val="nil"/>
              <w:bottom w:val="nil"/>
              <w:right w:val="nil"/>
            </w:tcBorders>
            <w:shd w:val="clear" w:color="000000" w:fill="FFFFFF"/>
            <w:vAlign w:val="bottom"/>
          </w:tcPr>
          <w:p w14:paraId="6D9036D7" w14:textId="1EACCF3D" w:rsidR="00692A81" w:rsidRPr="00073D3D" w:rsidRDefault="009A36CF"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51,956</w:t>
            </w:r>
          </w:p>
        </w:tc>
      </w:tr>
      <w:tr w:rsidR="00692A81" w:rsidRPr="00073D3D" w14:paraId="27BD430F" w14:textId="77777777" w:rsidTr="00B00FCE">
        <w:trPr>
          <w:trHeight w:val="315"/>
        </w:trPr>
        <w:tc>
          <w:tcPr>
            <w:tcW w:w="4961" w:type="dxa"/>
            <w:tcBorders>
              <w:top w:val="nil"/>
              <w:left w:val="nil"/>
              <w:bottom w:val="nil"/>
              <w:right w:val="nil"/>
            </w:tcBorders>
            <w:shd w:val="clear" w:color="000000" w:fill="FFFFFF"/>
            <w:noWrap/>
            <w:vAlign w:val="bottom"/>
          </w:tcPr>
          <w:p w14:paraId="6E8662F2" w14:textId="0F8C4192"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Financial liabilities – borrowings</w:t>
            </w:r>
          </w:p>
        </w:tc>
        <w:tc>
          <w:tcPr>
            <w:tcW w:w="339" w:type="dxa"/>
            <w:tcBorders>
              <w:top w:val="nil"/>
              <w:left w:val="nil"/>
              <w:bottom w:val="nil"/>
              <w:right w:val="nil"/>
            </w:tcBorders>
            <w:shd w:val="clear" w:color="000000" w:fill="FFFFFF"/>
            <w:noWrap/>
            <w:vAlign w:val="bottom"/>
          </w:tcPr>
          <w:p w14:paraId="348EC40B"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left w:val="nil"/>
              <w:bottom w:val="nil"/>
              <w:right w:val="nil"/>
            </w:tcBorders>
            <w:shd w:val="clear" w:color="000000" w:fill="FFFFFF"/>
            <w:noWrap/>
            <w:vAlign w:val="bottom"/>
          </w:tcPr>
          <w:p w14:paraId="6403A3A6" w14:textId="528A10A3" w:rsidR="00692A81" w:rsidRPr="00073D3D" w:rsidRDefault="00F74F12"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1,625</w:t>
            </w:r>
          </w:p>
        </w:tc>
        <w:tc>
          <w:tcPr>
            <w:tcW w:w="345" w:type="dxa"/>
            <w:tcBorders>
              <w:top w:val="nil"/>
              <w:left w:val="nil"/>
              <w:bottom w:val="nil"/>
              <w:right w:val="nil"/>
            </w:tcBorders>
            <w:shd w:val="clear" w:color="000000" w:fill="FFFFFF"/>
            <w:noWrap/>
            <w:vAlign w:val="bottom"/>
          </w:tcPr>
          <w:p w14:paraId="7AAA0658"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left w:val="nil"/>
              <w:bottom w:val="nil"/>
              <w:right w:val="nil"/>
            </w:tcBorders>
            <w:shd w:val="clear" w:color="000000" w:fill="FFFFFF"/>
            <w:vAlign w:val="bottom"/>
          </w:tcPr>
          <w:p w14:paraId="7744F995" w14:textId="685EB342"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1,</w:t>
            </w:r>
            <w:r w:rsidR="009A36CF">
              <w:rPr>
                <w:rFonts w:eastAsia="Times New Roman" w:cstheme="minorHAnsi"/>
                <w:bCs/>
                <w:color w:val="000000"/>
                <w:sz w:val="16"/>
                <w:szCs w:val="16"/>
                <w:lang w:eastAsia="en-GB"/>
              </w:rPr>
              <w:t>879</w:t>
            </w:r>
          </w:p>
        </w:tc>
      </w:tr>
      <w:tr w:rsidR="00692A81" w:rsidRPr="00073D3D" w14:paraId="31066DA3" w14:textId="77777777" w:rsidTr="00D168DF">
        <w:trPr>
          <w:trHeight w:val="315"/>
        </w:trPr>
        <w:tc>
          <w:tcPr>
            <w:tcW w:w="4961" w:type="dxa"/>
            <w:tcBorders>
              <w:top w:val="nil"/>
              <w:left w:val="nil"/>
              <w:bottom w:val="nil"/>
              <w:right w:val="nil"/>
            </w:tcBorders>
            <w:shd w:val="clear" w:color="000000" w:fill="FFFFFF"/>
            <w:noWrap/>
            <w:vAlign w:val="bottom"/>
          </w:tcPr>
          <w:p w14:paraId="22C26294"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 xml:space="preserve">Tax payable </w:t>
            </w:r>
          </w:p>
        </w:tc>
        <w:tc>
          <w:tcPr>
            <w:tcW w:w="339" w:type="dxa"/>
            <w:tcBorders>
              <w:top w:val="nil"/>
              <w:left w:val="nil"/>
              <w:bottom w:val="nil"/>
              <w:right w:val="nil"/>
            </w:tcBorders>
            <w:shd w:val="clear" w:color="000000" w:fill="FFFFFF"/>
            <w:noWrap/>
            <w:vAlign w:val="bottom"/>
          </w:tcPr>
          <w:p w14:paraId="164C9039"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left w:val="nil"/>
              <w:right w:val="nil"/>
            </w:tcBorders>
            <w:shd w:val="clear" w:color="000000" w:fill="FFFFFF"/>
            <w:noWrap/>
            <w:vAlign w:val="bottom"/>
          </w:tcPr>
          <w:p w14:paraId="1245A6FD" w14:textId="7F93BCD3" w:rsidR="00692A81" w:rsidRPr="00073D3D" w:rsidRDefault="00B0620F"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4</w:t>
            </w:r>
            <w:r w:rsidR="00F74F12">
              <w:rPr>
                <w:rFonts w:eastAsia="Times New Roman" w:cstheme="minorHAnsi"/>
                <w:b/>
                <w:color w:val="000000"/>
                <w:sz w:val="16"/>
                <w:szCs w:val="16"/>
                <w:lang w:eastAsia="en-GB"/>
              </w:rPr>
              <w:t>23</w:t>
            </w:r>
          </w:p>
        </w:tc>
        <w:tc>
          <w:tcPr>
            <w:tcW w:w="345" w:type="dxa"/>
            <w:tcBorders>
              <w:top w:val="nil"/>
              <w:left w:val="nil"/>
              <w:right w:val="nil"/>
            </w:tcBorders>
            <w:shd w:val="clear" w:color="000000" w:fill="FFFFFF"/>
            <w:noWrap/>
            <w:vAlign w:val="bottom"/>
          </w:tcPr>
          <w:p w14:paraId="1523E7F1"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left w:val="nil"/>
              <w:right w:val="nil"/>
            </w:tcBorders>
            <w:shd w:val="clear" w:color="000000" w:fill="FFFFFF"/>
            <w:vAlign w:val="bottom"/>
          </w:tcPr>
          <w:p w14:paraId="0DC82F2D" w14:textId="09D3FF0E" w:rsidR="00692A81" w:rsidRPr="00073D3D" w:rsidRDefault="009A36CF"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28</w:t>
            </w:r>
          </w:p>
        </w:tc>
      </w:tr>
      <w:tr w:rsidR="00692A81" w:rsidRPr="00073D3D" w14:paraId="570A0005" w14:textId="77777777" w:rsidTr="00D168DF">
        <w:trPr>
          <w:trHeight w:val="315"/>
        </w:trPr>
        <w:tc>
          <w:tcPr>
            <w:tcW w:w="4961" w:type="dxa"/>
            <w:tcBorders>
              <w:top w:val="nil"/>
              <w:left w:val="nil"/>
              <w:bottom w:val="nil"/>
              <w:right w:val="nil"/>
            </w:tcBorders>
            <w:shd w:val="clear" w:color="000000" w:fill="FFFFFF"/>
            <w:noWrap/>
            <w:vAlign w:val="bottom"/>
          </w:tcPr>
          <w:p w14:paraId="1F2B995E" w14:textId="4C653DA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Lease Liability</w:t>
            </w:r>
          </w:p>
        </w:tc>
        <w:tc>
          <w:tcPr>
            <w:tcW w:w="339" w:type="dxa"/>
            <w:tcBorders>
              <w:top w:val="nil"/>
              <w:left w:val="nil"/>
              <w:bottom w:val="nil"/>
              <w:right w:val="nil"/>
            </w:tcBorders>
            <w:shd w:val="clear" w:color="000000" w:fill="FFFFFF"/>
            <w:noWrap/>
            <w:vAlign w:val="bottom"/>
          </w:tcPr>
          <w:p w14:paraId="66A76717"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left w:val="nil"/>
              <w:bottom w:val="single" w:sz="4" w:space="0" w:color="auto"/>
              <w:right w:val="nil"/>
            </w:tcBorders>
            <w:shd w:val="clear" w:color="000000" w:fill="FFFFFF"/>
            <w:noWrap/>
            <w:vAlign w:val="bottom"/>
          </w:tcPr>
          <w:p w14:paraId="3F2AC32F" w14:textId="448A9A9C" w:rsidR="00692A81" w:rsidRPr="00073D3D" w:rsidRDefault="00F74F12"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191</w:t>
            </w:r>
          </w:p>
        </w:tc>
        <w:tc>
          <w:tcPr>
            <w:tcW w:w="345" w:type="dxa"/>
            <w:tcBorders>
              <w:left w:val="nil"/>
              <w:right w:val="nil"/>
            </w:tcBorders>
            <w:shd w:val="clear" w:color="000000" w:fill="FFFFFF"/>
            <w:noWrap/>
            <w:vAlign w:val="bottom"/>
          </w:tcPr>
          <w:p w14:paraId="668EB624"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left w:val="nil"/>
              <w:bottom w:val="single" w:sz="4" w:space="0" w:color="auto"/>
              <w:right w:val="nil"/>
            </w:tcBorders>
            <w:shd w:val="clear" w:color="000000" w:fill="FFFFFF"/>
            <w:vAlign w:val="bottom"/>
          </w:tcPr>
          <w:p w14:paraId="0BEE7BA4" w14:textId="70393716" w:rsidR="00692A81" w:rsidRPr="00073D3D" w:rsidRDefault="009A36CF"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20</w:t>
            </w:r>
          </w:p>
        </w:tc>
      </w:tr>
      <w:tr w:rsidR="00692A81" w:rsidRPr="00073D3D" w14:paraId="3070CFEA" w14:textId="77777777" w:rsidTr="0088277F">
        <w:trPr>
          <w:trHeight w:val="165"/>
        </w:trPr>
        <w:tc>
          <w:tcPr>
            <w:tcW w:w="4961" w:type="dxa"/>
            <w:tcBorders>
              <w:top w:val="nil"/>
              <w:left w:val="nil"/>
              <w:bottom w:val="nil"/>
              <w:right w:val="nil"/>
            </w:tcBorders>
            <w:shd w:val="clear" w:color="000000" w:fill="FFFFFF"/>
            <w:noWrap/>
            <w:vAlign w:val="bottom"/>
          </w:tcPr>
          <w:p w14:paraId="03B697EA"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b/>
                <w:color w:val="000000"/>
                <w:sz w:val="16"/>
                <w:szCs w:val="16"/>
                <w:lang w:eastAsia="en-GB"/>
              </w:rPr>
            </w:pPr>
          </w:p>
        </w:tc>
        <w:tc>
          <w:tcPr>
            <w:tcW w:w="339" w:type="dxa"/>
            <w:tcBorders>
              <w:top w:val="nil"/>
              <w:left w:val="nil"/>
              <w:bottom w:val="nil"/>
              <w:right w:val="nil"/>
            </w:tcBorders>
            <w:shd w:val="clear" w:color="000000" w:fill="FFFFFF"/>
            <w:noWrap/>
            <w:vAlign w:val="bottom"/>
          </w:tcPr>
          <w:p w14:paraId="0EEE8B68"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left w:val="nil"/>
              <w:bottom w:val="single" w:sz="4" w:space="0" w:color="auto"/>
              <w:right w:val="nil"/>
            </w:tcBorders>
            <w:shd w:val="clear" w:color="000000" w:fill="FFFFFF"/>
            <w:noWrap/>
            <w:vAlign w:val="bottom"/>
          </w:tcPr>
          <w:p w14:paraId="7066CC60" w14:textId="70000294" w:rsidR="00692A81" w:rsidRPr="00073D3D" w:rsidRDefault="00F74F12"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67,446</w:t>
            </w:r>
          </w:p>
        </w:tc>
        <w:tc>
          <w:tcPr>
            <w:tcW w:w="345" w:type="dxa"/>
            <w:tcBorders>
              <w:left w:val="nil"/>
              <w:bottom w:val="nil"/>
              <w:right w:val="nil"/>
            </w:tcBorders>
            <w:shd w:val="clear" w:color="000000" w:fill="FFFFFF"/>
            <w:noWrap/>
            <w:vAlign w:val="bottom"/>
          </w:tcPr>
          <w:p w14:paraId="32BB7689"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single" w:sz="4" w:space="0" w:color="auto"/>
              <w:left w:val="nil"/>
              <w:bottom w:val="single" w:sz="4" w:space="0" w:color="auto"/>
              <w:right w:val="nil"/>
            </w:tcBorders>
            <w:shd w:val="clear" w:color="000000" w:fill="FFFFFF"/>
            <w:vAlign w:val="bottom"/>
          </w:tcPr>
          <w:p w14:paraId="560E9929" w14:textId="79B9828C" w:rsidR="00692A81" w:rsidRPr="00073D3D" w:rsidRDefault="009A36CF"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53,883</w:t>
            </w:r>
          </w:p>
        </w:tc>
      </w:tr>
      <w:tr w:rsidR="00692A81" w:rsidRPr="00073D3D" w14:paraId="1B6C8862" w14:textId="77777777" w:rsidTr="00B00FCE">
        <w:trPr>
          <w:trHeight w:val="315"/>
        </w:trPr>
        <w:tc>
          <w:tcPr>
            <w:tcW w:w="4961" w:type="dxa"/>
            <w:tcBorders>
              <w:top w:val="nil"/>
              <w:left w:val="nil"/>
              <w:bottom w:val="nil"/>
              <w:right w:val="nil"/>
            </w:tcBorders>
            <w:shd w:val="clear" w:color="000000" w:fill="FFFFFF"/>
            <w:noWrap/>
            <w:vAlign w:val="bottom"/>
          </w:tcPr>
          <w:p w14:paraId="72E509C3"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b/>
                <w:color w:val="000000"/>
                <w:sz w:val="16"/>
                <w:szCs w:val="16"/>
                <w:lang w:eastAsia="en-GB"/>
              </w:rPr>
            </w:pPr>
          </w:p>
        </w:tc>
        <w:tc>
          <w:tcPr>
            <w:tcW w:w="339" w:type="dxa"/>
            <w:tcBorders>
              <w:top w:val="nil"/>
              <w:left w:val="nil"/>
              <w:bottom w:val="nil"/>
              <w:right w:val="nil"/>
            </w:tcBorders>
            <w:shd w:val="clear" w:color="000000" w:fill="FFFFFF"/>
            <w:noWrap/>
            <w:vAlign w:val="bottom"/>
          </w:tcPr>
          <w:p w14:paraId="57B48229"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left w:val="nil"/>
              <w:bottom w:val="single" w:sz="4" w:space="0" w:color="auto"/>
              <w:right w:val="nil"/>
            </w:tcBorders>
            <w:shd w:val="clear" w:color="000000" w:fill="FFFFFF"/>
            <w:noWrap/>
            <w:vAlign w:val="bottom"/>
          </w:tcPr>
          <w:p w14:paraId="42F256B4"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b/>
                <w:color w:val="000000"/>
                <w:sz w:val="16"/>
                <w:szCs w:val="16"/>
                <w:lang w:eastAsia="en-GB"/>
              </w:rPr>
            </w:pPr>
          </w:p>
        </w:tc>
        <w:tc>
          <w:tcPr>
            <w:tcW w:w="345" w:type="dxa"/>
            <w:tcBorders>
              <w:top w:val="nil"/>
              <w:left w:val="nil"/>
              <w:bottom w:val="nil"/>
              <w:right w:val="nil"/>
            </w:tcBorders>
            <w:shd w:val="clear" w:color="000000" w:fill="FFFFFF"/>
            <w:noWrap/>
            <w:vAlign w:val="bottom"/>
          </w:tcPr>
          <w:p w14:paraId="65F5223D"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left w:val="nil"/>
              <w:bottom w:val="single" w:sz="4" w:space="0" w:color="auto"/>
              <w:right w:val="nil"/>
            </w:tcBorders>
            <w:shd w:val="clear" w:color="000000" w:fill="FFFFFF"/>
            <w:vAlign w:val="bottom"/>
          </w:tcPr>
          <w:p w14:paraId="412310FF"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p>
        </w:tc>
      </w:tr>
      <w:tr w:rsidR="00692A81" w:rsidRPr="00073D3D" w14:paraId="109726A4" w14:textId="77777777" w:rsidTr="00B00FCE">
        <w:trPr>
          <w:trHeight w:val="173"/>
        </w:trPr>
        <w:tc>
          <w:tcPr>
            <w:tcW w:w="4961" w:type="dxa"/>
            <w:tcBorders>
              <w:top w:val="nil"/>
              <w:left w:val="nil"/>
              <w:bottom w:val="nil"/>
              <w:right w:val="nil"/>
            </w:tcBorders>
            <w:shd w:val="clear" w:color="000000" w:fill="FFFFFF"/>
            <w:noWrap/>
            <w:vAlign w:val="bottom"/>
          </w:tcPr>
          <w:p w14:paraId="2DB8C7C8"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b/>
                <w:color w:val="000000"/>
                <w:sz w:val="16"/>
                <w:szCs w:val="16"/>
                <w:lang w:eastAsia="en-GB"/>
              </w:rPr>
            </w:pPr>
            <w:r w:rsidRPr="00073D3D">
              <w:rPr>
                <w:rFonts w:eastAsia="Times New Roman" w:cstheme="minorHAnsi"/>
                <w:b/>
                <w:color w:val="000000"/>
                <w:sz w:val="16"/>
                <w:szCs w:val="16"/>
                <w:lang w:eastAsia="en-GB"/>
              </w:rPr>
              <w:t>TOTAL LIABILITIES</w:t>
            </w:r>
          </w:p>
        </w:tc>
        <w:tc>
          <w:tcPr>
            <w:tcW w:w="339" w:type="dxa"/>
            <w:tcBorders>
              <w:top w:val="nil"/>
              <w:left w:val="nil"/>
              <w:bottom w:val="nil"/>
              <w:right w:val="nil"/>
            </w:tcBorders>
            <w:shd w:val="clear" w:color="000000" w:fill="FFFFFF"/>
            <w:noWrap/>
            <w:vAlign w:val="bottom"/>
          </w:tcPr>
          <w:p w14:paraId="24D515A1"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6" w:type="dxa"/>
            <w:tcBorders>
              <w:top w:val="single" w:sz="4" w:space="0" w:color="auto"/>
              <w:left w:val="nil"/>
              <w:bottom w:val="single" w:sz="4" w:space="0" w:color="auto"/>
              <w:right w:val="nil"/>
            </w:tcBorders>
            <w:shd w:val="clear" w:color="000000" w:fill="FFFFFF"/>
            <w:noWrap/>
            <w:vAlign w:val="bottom"/>
          </w:tcPr>
          <w:p w14:paraId="1DAB9064" w14:textId="4476A7B9" w:rsidR="00692A81" w:rsidRPr="00073D3D" w:rsidRDefault="00F74F12"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122,015</w:t>
            </w:r>
          </w:p>
        </w:tc>
        <w:tc>
          <w:tcPr>
            <w:tcW w:w="345" w:type="dxa"/>
            <w:tcBorders>
              <w:top w:val="nil"/>
              <w:left w:val="nil"/>
              <w:bottom w:val="nil"/>
              <w:right w:val="nil"/>
            </w:tcBorders>
            <w:shd w:val="clear" w:color="000000" w:fill="FFFFFF"/>
            <w:noWrap/>
            <w:vAlign w:val="bottom"/>
          </w:tcPr>
          <w:p w14:paraId="59CF0A11"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635" w:type="dxa"/>
            <w:tcBorders>
              <w:top w:val="single" w:sz="4" w:space="0" w:color="auto"/>
              <w:left w:val="nil"/>
              <w:bottom w:val="single" w:sz="4" w:space="0" w:color="auto"/>
              <w:right w:val="nil"/>
            </w:tcBorders>
            <w:shd w:val="clear" w:color="000000" w:fill="FFFFFF"/>
            <w:vAlign w:val="bottom"/>
          </w:tcPr>
          <w:p w14:paraId="0843DB6B" w14:textId="5827F808" w:rsidR="00692A81" w:rsidRPr="00073D3D" w:rsidRDefault="009A36CF"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95,260</w:t>
            </w:r>
          </w:p>
        </w:tc>
      </w:tr>
      <w:tr w:rsidR="00692A81" w:rsidRPr="00073D3D" w14:paraId="7A775EFB" w14:textId="77777777" w:rsidTr="00B00FCE">
        <w:trPr>
          <w:trHeight w:val="300"/>
        </w:trPr>
        <w:tc>
          <w:tcPr>
            <w:tcW w:w="4961" w:type="dxa"/>
            <w:tcBorders>
              <w:top w:val="nil"/>
              <w:left w:val="nil"/>
              <w:bottom w:val="nil"/>
              <w:right w:val="nil"/>
            </w:tcBorders>
            <w:shd w:val="clear" w:color="000000" w:fill="FFFFFF"/>
            <w:noWrap/>
            <w:vAlign w:val="bottom"/>
          </w:tcPr>
          <w:p w14:paraId="11B2168E"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 </w:t>
            </w:r>
          </w:p>
        </w:tc>
        <w:tc>
          <w:tcPr>
            <w:tcW w:w="339" w:type="dxa"/>
            <w:tcBorders>
              <w:top w:val="nil"/>
              <w:left w:val="nil"/>
              <w:bottom w:val="nil"/>
              <w:right w:val="nil"/>
            </w:tcBorders>
            <w:shd w:val="clear" w:color="000000" w:fill="FFFFFF"/>
            <w:noWrap/>
            <w:vAlign w:val="bottom"/>
          </w:tcPr>
          <w:p w14:paraId="7818092B"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 </w:t>
            </w:r>
          </w:p>
        </w:tc>
        <w:tc>
          <w:tcPr>
            <w:tcW w:w="2076" w:type="dxa"/>
            <w:tcBorders>
              <w:top w:val="nil"/>
              <w:left w:val="nil"/>
              <w:bottom w:val="single" w:sz="4" w:space="0" w:color="auto"/>
              <w:right w:val="nil"/>
            </w:tcBorders>
            <w:shd w:val="clear" w:color="000000" w:fill="FFFFFF"/>
            <w:noWrap/>
            <w:vAlign w:val="bottom"/>
          </w:tcPr>
          <w:p w14:paraId="4D24B0AE" w14:textId="6573887F"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073D3D">
              <w:rPr>
                <w:rFonts w:eastAsia="Times New Roman" w:cstheme="minorHAnsi"/>
                <w:b/>
                <w:color w:val="000000"/>
                <w:sz w:val="16"/>
                <w:szCs w:val="16"/>
                <w:lang w:eastAsia="en-GB"/>
              </w:rPr>
              <w:t> </w:t>
            </w:r>
          </w:p>
        </w:tc>
        <w:tc>
          <w:tcPr>
            <w:tcW w:w="345" w:type="dxa"/>
            <w:tcBorders>
              <w:top w:val="nil"/>
              <w:left w:val="nil"/>
              <w:bottom w:val="nil"/>
              <w:right w:val="nil"/>
            </w:tcBorders>
            <w:shd w:val="clear" w:color="000000" w:fill="FFFFFF"/>
            <w:noWrap/>
            <w:vAlign w:val="bottom"/>
          </w:tcPr>
          <w:p w14:paraId="139AD902"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r w:rsidRPr="00073D3D">
              <w:rPr>
                <w:rFonts w:eastAsia="Times New Roman" w:cstheme="minorHAnsi"/>
                <w:color w:val="FF0000"/>
                <w:sz w:val="16"/>
                <w:szCs w:val="16"/>
                <w:lang w:eastAsia="en-GB"/>
              </w:rPr>
              <w:t> </w:t>
            </w:r>
          </w:p>
        </w:tc>
        <w:tc>
          <w:tcPr>
            <w:tcW w:w="1635" w:type="dxa"/>
            <w:tcBorders>
              <w:top w:val="nil"/>
              <w:left w:val="nil"/>
              <w:bottom w:val="single" w:sz="4" w:space="0" w:color="auto"/>
              <w:right w:val="nil"/>
            </w:tcBorders>
            <w:shd w:val="clear" w:color="000000" w:fill="FFFFFF"/>
            <w:vAlign w:val="bottom"/>
          </w:tcPr>
          <w:p w14:paraId="34655BA0" w14:textId="0B7C2FD0"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 </w:t>
            </w:r>
          </w:p>
        </w:tc>
      </w:tr>
      <w:tr w:rsidR="00692A81" w:rsidRPr="00073D3D" w14:paraId="1FADCB0A" w14:textId="77777777" w:rsidTr="00B00FCE">
        <w:trPr>
          <w:trHeight w:val="181"/>
        </w:trPr>
        <w:tc>
          <w:tcPr>
            <w:tcW w:w="4961" w:type="dxa"/>
            <w:tcBorders>
              <w:top w:val="nil"/>
              <w:left w:val="nil"/>
              <w:bottom w:val="nil"/>
              <w:right w:val="nil"/>
            </w:tcBorders>
            <w:shd w:val="clear" w:color="000000" w:fill="FFFFFF"/>
            <w:noWrap/>
            <w:vAlign w:val="bottom"/>
          </w:tcPr>
          <w:p w14:paraId="5083C9E7"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b/>
                <w:bCs/>
                <w:color w:val="000000"/>
                <w:sz w:val="16"/>
                <w:szCs w:val="16"/>
                <w:lang w:eastAsia="en-GB"/>
              </w:rPr>
              <w:t>TOTAL EQUITY AND LIABILITIES</w:t>
            </w:r>
          </w:p>
        </w:tc>
        <w:tc>
          <w:tcPr>
            <w:tcW w:w="339" w:type="dxa"/>
            <w:tcBorders>
              <w:top w:val="nil"/>
              <w:left w:val="nil"/>
              <w:bottom w:val="nil"/>
              <w:right w:val="nil"/>
            </w:tcBorders>
            <w:shd w:val="clear" w:color="000000" w:fill="FFFFFF"/>
            <w:noWrap/>
            <w:vAlign w:val="bottom"/>
          </w:tcPr>
          <w:p w14:paraId="6AE59388" w14:textId="77777777" w:rsidR="00692A81" w:rsidRPr="00073D3D" w:rsidRDefault="00692A81" w:rsidP="00692A81">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73D3D">
              <w:rPr>
                <w:rFonts w:eastAsia="Times New Roman" w:cstheme="minorHAnsi"/>
                <w:color w:val="000000"/>
                <w:sz w:val="16"/>
                <w:szCs w:val="16"/>
                <w:lang w:eastAsia="en-GB"/>
              </w:rPr>
              <w:t> </w:t>
            </w:r>
          </w:p>
        </w:tc>
        <w:tc>
          <w:tcPr>
            <w:tcW w:w="2076" w:type="dxa"/>
            <w:tcBorders>
              <w:top w:val="single" w:sz="4" w:space="0" w:color="auto"/>
              <w:left w:val="nil"/>
              <w:bottom w:val="double" w:sz="4" w:space="0" w:color="auto"/>
              <w:right w:val="nil"/>
            </w:tcBorders>
            <w:shd w:val="clear" w:color="000000" w:fill="FFFFFF"/>
            <w:noWrap/>
            <w:vAlign w:val="bottom"/>
          </w:tcPr>
          <w:p w14:paraId="0459C8D6" w14:textId="2F77C351"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073D3D">
              <w:rPr>
                <w:rFonts w:eastAsia="Times New Roman" w:cstheme="minorHAnsi"/>
                <w:b/>
                <w:color w:val="000000"/>
                <w:sz w:val="16"/>
                <w:szCs w:val="16"/>
                <w:lang w:eastAsia="en-GB"/>
              </w:rPr>
              <w:t>1</w:t>
            </w:r>
            <w:r w:rsidR="00FE6AF9">
              <w:rPr>
                <w:rFonts w:eastAsia="Times New Roman" w:cstheme="minorHAnsi"/>
                <w:b/>
                <w:color w:val="000000"/>
                <w:sz w:val="16"/>
                <w:szCs w:val="16"/>
                <w:lang w:eastAsia="en-GB"/>
              </w:rPr>
              <w:t>83,690</w:t>
            </w:r>
          </w:p>
        </w:tc>
        <w:tc>
          <w:tcPr>
            <w:tcW w:w="345" w:type="dxa"/>
            <w:tcBorders>
              <w:top w:val="nil"/>
              <w:left w:val="nil"/>
              <w:bottom w:val="nil"/>
              <w:right w:val="nil"/>
            </w:tcBorders>
            <w:shd w:val="clear" w:color="000000" w:fill="FFFFFF"/>
            <w:noWrap/>
            <w:vAlign w:val="bottom"/>
          </w:tcPr>
          <w:p w14:paraId="037A7A1C" w14:textId="77777777" w:rsidR="00692A81" w:rsidRPr="00073D3D" w:rsidRDefault="00692A81" w:rsidP="00692A81">
            <w:pPr>
              <w:keepLines/>
              <w:widowControl w:val="0"/>
              <w:autoSpaceDE w:val="0"/>
              <w:autoSpaceDN w:val="0"/>
              <w:adjustRightInd w:val="0"/>
              <w:spacing w:after="0" w:line="240" w:lineRule="auto"/>
              <w:jc w:val="right"/>
              <w:rPr>
                <w:rFonts w:eastAsia="Times New Roman" w:cstheme="minorHAnsi"/>
                <w:b/>
                <w:color w:val="FF0000"/>
                <w:sz w:val="16"/>
                <w:szCs w:val="16"/>
                <w:lang w:eastAsia="en-GB"/>
              </w:rPr>
            </w:pPr>
            <w:r w:rsidRPr="00073D3D">
              <w:rPr>
                <w:rFonts w:eastAsia="Times New Roman" w:cstheme="minorHAnsi"/>
                <w:b/>
                <w:color w:val="FF0000"/>
                <w:sz w:val="16"/>
                <w:szCs w:val="16"/>
                <w:lang w:eastAsia="en-GB"/>
              </w:rPr>
              <w:t> </w:t>
            </w:r>
          </w:p>
        </w:tc>
        <w:tc>
          <w:tcPr>
            <w:tcW w:w="1635" w:type="dxa"/>
            <w:tcBorders>
              <w:top w:val="single" w:sz="4" w:space="0" w:color="auto"/>
              <w:left w:val="nil"/>
              <w:bottom w:val="double" w:sz="4" w:space="0" w:color="auto"/>
              <w:right w:val="nil"/>
            </w:tcBorders>
            <w:shd w:val="clear" w:color="000000" w:fill="FFFFFF"/>
            <w:vAlign w:val="bottom"/>
          </w:tcPr>
          <w:p w14:paraId="48FBCE2F" w14:textId="1B56328B" w:rsidR="00692A81" w:rsidRPr="00073D3D" w:rsidRDefault="00692A81" w:rsidP="00692A81">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073D3D">
              <w:rPr>
                <w:rFonts w:eastAsia="Times New Roman" w:cstheme="minorHAnsi"/>
                <w:bCs/>
                <w:color w:val="000000"/>
                <w:sz w:val="16"/>
                <w:szCs w:val="16"/>
                <w:lang w:eastAsia="en-GB"/>
              </w:rPr>
              <w:t>1</w:t>
            </w:r>
            <w:r w:rsidR="009A36CF">
              <w:rPr>
                <w:rFonts w:eastAsia="Times New Roman" w:cstheme="minorHAnsi"/>
                <w:bCs/>
                <w:color w:val="000000"/>
                <w:sz w:val="16"/>
                <w:szCs w:val="16"/>
                <w:lang w:eastAsia="en-GB"/>
              </w:rPr>
              <w:t>53,313</w:t>
            </w:r>
          </w:p>
        </w:tc>
      </w:tr>
    </w:tbl>
    <w:p w14:paraId="6F03C099" w14:textId="77777777" w:rsidR="00D168DF" w:rsidRDefault="00D168DF" w:rsidP="00E622DF">
      <w:pPr>
        <w:spacing w:after="0" w:line="240" w:lineRule="auto"/>
        <w:rPr>
          <w:rFonts w:eastAsia="Times New Roman" w:cstheme="minorHAnsi"/>
          <w:b/>
          <w:bCs/>
          <w:color w:val="000000"/>
          <w:highlight w:val="yellow"/>
          <w:lang w:eastAsia="en-GB"/>
        </w:rPr>
      </w:pPr>
    </w:p>
    <w:p w14:paraId="11499C18" w14:textId="13470C61" w:rsidR="00073D3D" w:rsidRDefault="00073D3D">
      <w:pPr>
        <w:rPr>
          <w:rFonts w:eastAsia="Times New Roman" w:cstheme="minorHAnsi"/>
          <w:b/>
          <w:bCs/>
          <w:color w:val="000000"/>
          <w:highlight w:val="yellow"/>
          <w:lang w:eastAsia="en-GB"/>
        </w:rPr>
      </w:pPr>
      <w:r>
        <w:rPr>
          <w:rFonts w:eastAsia="Times New Roman" w:cstheme="minorHAnsi"/>
          <w:b/>
          <w:bCs/>
          <w:color w:val="000000"/>
          <w:highlight w:val="yellow"/>
          <w:lang w:eastAsia="en-GB"/>
        </w:rPr>
        <w:br w:type="page"/>
      </w:r>
    </w:p>
    <w:p w14:paraId="27B2AD3F" w14:textId="77777777" w:rsidR="00312572" w:rsidRPr="00D47013" w:rsidRDefault="00312572" w:rsidP="00E622DF">
      <w:pPr>
        <w:spacing w:after="0" w:line="240" w:lineRule="auto"/>
        <w:rPr>
          <w:rFonts w:eastAsia="Times New Roman" w:cstheme="minorHAnsi"/>
          <w:b/>
          <w:bCs/>
          <w:color w:val="000000"/>
          <w:highlight w:val="yellow"/>
          <w:lang w:eastAsia="en-GB"/>
        </w:rPr>
      </w:pPr>
    </w:p>
    <w:p w14:paraId="144643BD" w14:textId="71AC0333" w:rsidR="00E622DF" w:rsidRPr="005F3B92" w:rsidRDefault="00887F65" w:rsidP="00E622DF">
      <w:pPr>
        <w:spacing w:after="0" w:line="240" w:lineRule="auto"/>
        <w:rPr>
          <w:rFonts w:eastAsia="Times New Roman" w:cstheme="minorHAnsi"/>
          <w:b/>
          <w:bCs/>
          <w:color w:val="000000"/>
          <w:lang w:eastAsia="en-GB"/>
        </w:rPr>
      </w:pPr>
      <w:r w:rsidRPr="005F3B92">
        <w:rPr>
          <w:rFonts w:eastAsia="Times New Roman" w:cstheme="minorHAnsi"/>
          <w:b/>
          <w:bCs/>
          <w:color w:val="000000"/>
          <w:lang w:eastAsia="en-GB"/>
        </w:rPr>
        <w:t>CONSOLIDATED STATEMENT OF CHANGES IN EQUITY</w:t>
      </w:r>
    </w:p>
    <w:p w14:paraId="3CD44ADE" w14:textId="242E9B4C" w:rsidR="00887F65" w:rsidRPr="005F3B92" w:rsidRDefault="00887F65" w:rsidP="00E622DF">
      <w:pPr>
        <w:spacing w:after="0" w:line="240" w:lineRule="auto"/>
        <w:rPr>
          <w:rFonts w:eastAsia="Times New Roman" w:cstheme="minorHAnsi"/>
          <w:b/>
          <w:bCs/>
          <w:color w:val="000000"/>
          <w:lang w:eastAsia="en-GB"/>
        </w:rPr>
      </w:pPr>
      <w:r w:rsidRPr="005F3B92">
        <w:rPr>
          <w:rFonts w:eastAsia="Times New Roman" w:cstheme="minorHAnsi"/>
          <w:b/>
          <w:bCs/>
          <w:color w:val="000000"/>
          <w:lang w:eastAsia="en-GB"/>
        </w:rPr>
        <w:t>FOR THE YEAR ENDED 31 MAY 20</w:t>
      </w:r>
      <w:r w:rsidR="00CE1594" w:rsidRPr="005F3B92">
        <w:rPr>
          <w:rFonts w:eastAsia="Times New Roman" w:cstheme="minorHAnsi"/>
          <w:b/>
          <w:bCs/>
          <w:color w:val="000000"/>
          <w:lang w:eastAsia="en-GB"/>
        </w:rPr>
        <w:t>2</w:t>
      </w:r>
      <w:r w:rsidR="00C0367C">
        <w:rPr>
          <w:rFonts w:eastAsia="Times New Roman" w:cstheme="minorHAnsi"/>
          <w:b/>
          <w:bCs/>
          <w:color w:val="000000"/>
          <w:lang w:eastAsia="en-GB"/>
        </w:rPr>
        <w:t>3</w:t>
      </w:r>
    </w:p>
    <w:p w14:paraId="3748EBBC" w14:textId="77777777" w:rsidR="00887F65" w:rsidRPr="00D47013" w:rsidRDefault="00887F65" w:rsidP="00887F65">
      <w:pPr>
        <w:widowControl w:val="0"/>
        <w:tabs>
          <w:tab w:val="left" w:pos="941"/>
        </w:tabs>
        <w:autoSpaceDE w:val="0"/>
        <w:autoSpaceDN w:val="0"/>
        <w:adjustRightInd w:val="0"/>
        <w:spacing w:after="0" w:line="240" w:lineRule="auto"/>
        <w:ind w:left="941" w:right="941"/>
        <w:rPr>
          <w:rFonts w:eastAsia="Times New Roman" w:cstheme="minorHAnsi"/>
          <w:color w:val="000000"/>
          <w:highlight w:val="yellow"/>
          <w:lang w:eastAsia="en-GB"/>
        </w:rPr>
      </w:pPr>
    </w:p>
    <w:p w14:paraId="038850E9" w14:textId="77777777" w:rsidR="00887F65" w:rsidRPr="00D47013" w:rsidRDefault="00887F65" w:rsidP="00887F65">
      <w:pPr>
        <w:widowControl w:val="0"/>
        <w:tabs>
          <w:tab w:val="left" w:pos="941"/>
        </w:tabs>
        <w:autoSpaceDE w:val="0"/>
        <w:autoSpaceDN w:val="0"/>
        <w:adjustRightInd w:val="0"/>
        <w:spacing w:after="0" w:line="240" w:lineRule="auto"/>
        <w:ind w:left="941" w:right="941"/>
        <w:rPr>
          <w:rFonts w:eastAsia="Times New Roman" w:cstheme="minorHAnsi"/>
          <w:color w:val="000000"/>
          <w:highlight w:val="yellow"/>
          <w:lang w:eastAsia="en-GB"/>
        </w:rPr>
      </w:pPr>
    </w:p>
    <w:tbl>
      <w:tblPr>
        <w:tblStyle w:val="TableGrid1"/>
        <w:tblW w:w="9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1051"/>
        <w:gridCol w:w="1129"/>
        <w:gridCol w:w="1130"/>
        <w:gridCol w:w="1100"/>
        <w:gridCol w:w="1131"/>
        <w:gridCol w:w="1007"/>
      </w:tblGrid>
      <w:tr w:rsidR="006D67E9" w:rsidRPr="006D67E9" w14:paraId="37E1CC7B" w14:textId="77777777" w:rsidTr="002E319C">
        <w:trPr>
          <w:trHeight w:val="430"/>
        </w:trPr>
        <w:tc>
          <w:tcPr>
            <w:tcW w:w="2918" w:type="dxa"/>
          </w:tcPr>
          <w:p w14:paraId="1F94A44F" w14:textId="77777777" w:rsidR="00887F65" w:rsidRPr="006D67E9" w:rsidRDefault="00887F65" w:rsidP="00887F65">
            <w:pPr>
              <w:rPr>
                <w:rFonts w:asciiTheme="minorHAnsi" w:eastAsia="Calibri" w:hAnsiTheme="minorHAnsi" w:cstheme="minorHAnsi"/>
                <w:sz w:val="16"/>
                <w:szCs w:val="16"/>
              </w:rPr>
            </w:pPr>
            <w:r w:rsidRPr="006D67E9">
              <w:rPr>
                <w:rFonts w:asciiTheme="minorHAnsi" w:eastAsia="Calibri" w:hAnsiTheme="minorHAnsi" w:cstheme="minorHAnsi"/>
                <w:sz w:val="16"/>
                <w:szCs w:val="16"/>
              </w:rPr>
              <w:tab/>
            </w:r>
          </w:p>
        </w:tc>
        <w:tc>
          <w:tcPr>
            <w:tcW w:w="1051" w:type="dxa"/>
          </w:tcPr>
          <w:p w14:paraId="24701DE1"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Called up Share Capital</w:t>
            </w:r>
          </w:p>
        </w:tc>
        <w:tc>
          <w:tcPr>
            <w:tcW w:w="1129" w:type="dxa"/>
          </w:tcPr>
          <w:p w14:paraId="7C36F689"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Retained Earnings</w:t>
            </w:r>
          </w:p>
        </w:tc>
        <w:tc>
          <w:tcPr>
            <w:tcW w:w="1130" w:type="dxa"/>
          </w:tcPr>
          <w:p w14:paraId="639CCFA4"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 xml:space="preserve">Share Premium </w:t>
            </w:r>
          </w:p>
        </w:tc>
        <w:tc>
          <w:tcPr>
            <w:tcW w:w="1100" w:type="dxa"/>
          </w:tcPr>
          <w:p w14:paraId="11D6B9BF"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Treasury</w:t>
            </w:r>
          </w:p>
          <w:p w14:paraId="75A08ED4"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Shares</w:t>
            </w:r>
          </w:p>
        </w:tc>
        <w:tc>
          <w:tcPr>
            <w:tcW w:w="1131" w:type="dxa"/>
          </w:tcPr>
          <w:p w14:paraId="2B944EEE"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Employee</w:t>
            </w:r>
          </w:p>
          <w:p w14:paraId="73A4DA4C"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Shares</w:t>
            </w:r>
          </w:p>
        </w:tc>
        <w:tc>
          <w:tcPr>
            <w:tcW w:w="1007" w:type="dxa"/>
          </w:tcPr>
          <w:p w14:paraId="16578DA6" w14:textId="1CBA6D24"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Total Equity</w:t>
            </w:r>
          </w:p>
        </w:tc>
      </w:tr>
      <w:tr w:rsidR="006D67E9" w:rsidRPr="006D67E9" w14:paraId="684FF9FE" w14:textId="77777777" w:rsidTr="002E319C">
        <w:trPr>
          <w:trHeight w:val="430"/>
        </w:trPr>
        <w:tc>
          <w:tcPr>
            <w:tcW w:w="2918" w:type="dxa"/>
          </w:tcPr>
          <w:p w14:paraId="6C6E66D8" w14:textId="77777777" w:rsidR="00887F65" w:rsidRPr="006D67E9" w:rsidRDefault="00887F65" w:rsidP="00887F65">
            <w:pPr>
              <w:keepLines/>
              <w:widowControl w:val="0"/>
              <w:autoSpaceDE w:val="0"/>
              <w:autoSpaceDN w:val="0"/>
              <w:adjustRightInd w:val="0"/>
              <w:rPr>
                <w:rFonts w:asciiTheme="minorHAnsi" w:eastAsia="Calibri" w:hAnsiTheme="minorHAnsi" w:cstheme="minorHAnsi"/>
                <w:sz w:val="16"/>
                <w:szCs w:val="16"/>
              </w:rPr>
            </w:pPr>
          </w:p>
        </w:tc>
        <w:tc>
          <w:tcPr>
            <w:tcW w:w="1051" w:type="dxa"/>
          </w:tcPr>
          <w:p w14:paraId="626C5657"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£’000</w:t>
            </w:r>
          </w:p>
        </w:tc>
        <w:tc>
          <w:tcPr>
            <w:tcW w:w="1129" w:type="dxa"/>
          </w:tcPr>
          <w:p w14:paraId="71393AC4"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£’000</w:t>
            </w:r>
          </w:p>
        </w:tc>
        <w:tc>
          <w:tcPr>
            <w:tcW w:w="1130" w:type="dxa"/>
          </w:tcPr>
          <w:p w14:paraId="3B907860"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£’000</w:t>
            </w:r>
          </w:p>
        </w:tc>
        <w:tc>
          <w:tcPr>
            <w:tcW w:w="1100" w:type="dxa"/>
          </w:tcPr>
          <w:p w14:paraId="3066C86D"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£’000</w:t>
            </w:r>
          </w:p>
        </w:tc>
        <w:tc>
          <w:tcPr>
            <w:tcW w:w="1131" w:type="dxa"/>
          </w:tcPr>
          <w:p w14:paraId="7223D75C"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£’000</w:t>
            </w:r>
          </w:p>
        </w:tc>
        <w:tc>
          <w:tcPr>
            <w:tcW w:w="1007" w:type="dxa"/>
          </w:tcPr>
          <w:p w14:paraId="6409D57D"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£’000</w:t>
            </w:r>
          </w:p>
        </w:tc>
      </w:tr>
      <w:tr w:rsidR="006D67E9" w:rsidRPr="006D67E9" w14:paraId="21CBD4C5" w14:textId="77777777" w:rsidTr="002E319C">
        <w:trPr>
          <w:trHeight w:val="255"/>
        </w:trPr>
        <w:tc>
          <w:tcPr>
            <w:tcW w:w="2918" w:type="dxa"/>
          </w:tcPr>
          <w:p w14:paraId="5F368074" w14:textId="25EF4315" w:rsidR="00887F65" w:rsidRPr="006D67E9" w:rsidRDefault="00887F65" w:rsidP="00887F65">
            <w:pPr>
              <w:keepLines/>
              <w:widowControl w:val="0"/>
              <w:autoSpaceDE w:val="0"/>
              <w:autoSpaceDN w:val="0"/>
              <w:adjustRightInd w:val="0"/>
              <w:rPr>
                <w:rFonts w:asciiTheme="minorHAnsi" w:eastAsia="Calibri" w:hAnsiTheme="minorHAnsi" w:cstheme="minorHAnsi"/>
                <w:b/>
                <w:sz w:val="16"/>
                <w:szCs w:val="16"/>
              </w:rPr>
            </w:pPr>
            <w:r w:rsidRPr="006D67E9">
              <w:rPr>
                <w:rFonts w:asciiTheme="minorHAnsi" w:eastAsia="Calibri" w:hAnsiTheme="minorHAnsi" w:cstheme="minorHAnsi"/>
                <w:b/>
                <w:sz w:val="16"/>
                <w:szCs w:val="16"/>
              </w:rPr>
              <w:t xml:space="preserve">Balance at </w:t>
            </w:r>
            <w:r w:rsidR="00A65BB8" w:rsidRPr="006D67E9">
              <w:rPr>
                <w:rFonts w:asciiTheme="minorHAnsi" w:eastAsia="Calibri" w:hAnsiTheme="minorHAnsi" w:cstheme="minorHAnsi"/>
                <w:b/>
                <w:sz w:val="16"/>
                <w:szCs w:val="16"/>
              </w:rPr>
              <w:t>31 May 202</w:t>
            </w:r>
            <w:r w:rsidR="006E687B" w:rsidRPr="006D67E9">
              <w:rPr>
                <w:rFonts w:asciiTheme="minorHAnsi" w:eastAsia="Calibri" w:hAnsiTheme="minorHAnsi" w:cstheme="minorHAnsi"/>
                <w:b/>
                <w:sz w:val="16"/>
                <w:szCs w:val="16"/>
              </w:rPr>
              <w:t>1</w:t>
            </w:r>
          </w:p>
        </w:tc>
        <w:tc>
          <w:tcPr>
            <w:tcW w:w="1051" w:type="dxa"/>
          </w:tcPr>
          <w:p w14:paraId="48EAD3A8" w14:textId="2FF01049" w:rsidR="00887F65" w:rsidRPr="006D67E9" w:rsidRDefault="00E253D1" w:rsidP="00887F6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9,252</w:t>
            </w:r>
          </w:p>
        </w:tc>
        <w:tc>
          <w:tcPr>
            <w:tcW w:w="1129" w:type="dxa"/>
          </w:tcPr>
          <w:p w14:paraId="73C6B4FC" w14:textId="66A3F193" w:rsidR="00887F65" w:rsidRPr="006D67E9" w:rsidRDefault="002E12B9" w:rsidP="00887F6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2</w:t>
            </w:r>
            <w:r w:rsidR="00E253D1" w:rsidRPr="006D67E9">
              <w:rPr>
                <w:rFonts w:asciiTheme="minorHAnsi" w:eastAsia="Calibri" w:hAnsiTheme="minorHAnsi" w:cstheme="minorHAnsi"/>
                <w:sz w:val="16"/>
                <w:szCs w:val="16"/>
              </w:rPr>
              <w:t>3,051</w:t>
            </w:r>
          </w:p>
        </w:tc>
        <w:tc>
          <w:tcPr>
            <w:tcW w:w="1130" w:type="dxa"/>
          </w:tcPr>
          <w:p w14:paraId="291A2966" w14:textId="125450A8" w:rsidR="00887F65" w:rsidRPr="006D67E9" w:rsidRDefault="00CE1594" w:rsidP="00887F6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2</w:t>
            </w:r>
            <w:r w:rsidR="00E253D1" w:rsidRPr="006D67E9">
              <w:rPr>
                <w:rFonts w:asciiTheme="minorHAnsi" w:eastAsia="Calibri" w:hAnsiTheme="minorHAnsi" w:cstheme="minorHAnsi"/>
                <w:sz w:val="16"/>
                <w:szCs w:val="16"/>
              </w:rPr>
              <w:t>3</w:t>
            </w:r>
            <w:r w:rsidR="00FC10D6" w:rsidRPr="006D67E9">
              <w:rPr>
                <w:rFonts w:asciiTheme="minorHAnsi" w:eastAsia="Calibri" w:hAnsiTheme="minorHAnsi" w:cstheme="minorHAnsi"/>
                <w:sz w:val="16"/>
                <w:szCs w:val="16"/>
              </w:rPr>
              <w:t>,</w:t>
            </w:r>
            <w:r w:rsidR="00E253D1" w:rsidRPr="006D67E9">
              <w:rPr>
                <w:rFonts w:asciiTheme="minorHAnsi" w:eastAsia="Calibri" w:hAnsiTheme="minorHAnsi" w:cstheme="minorHAnsi"/>
                <w:sz w:val="16"/>
                <w:szCs w:val="16"/>
              </w:rPr>
              <w:t>543</w:t>
            </w:r>
          </w:p>
        </w:tc>
        <w:tc>
          <w:tcPr>
            <w:tcW w:w="1100" w:type="dxa"/>
          </w:tcPr>
          <w:p w14:paraId="6BB2FFA6" w14:textId="64068CEB" w:rsidR="00887F65" w:rsidRPr="006D67E9" w:rsidRDefault="00CE1594" w:rsidP="00887F6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r w:rsidR="00E253D1" w:rsidRPr="006D67E9">
              <w:rPr>
                <w:rFonts w:asciiTheme="minorHAnsi" w:eastAsia="Calibri" w:hAnsiTheme="minorHAnsi" w:cstheme="minorHAnsi"/>
                <w:sz w:val="16"/>
                <w:szCs w:val="16"/>
              </w:rPr>
              <w:t>790</w:t>
            </w:r>
            <w:r w:rsidRPr="006D67E9">
              <w:rPr>
                <w:rFonts w:asciiTheme="minorHAnsi" w:eastAsia="Calibri" w:hAnsiTheme="minorHAnsi" w:cstheme="minorHAnsi"/>
                <w:sz w:val="16"/>
                <w:szCs w:val="16"/>
              </w:rPr>
              <w:t>)</w:t>
            </w:r>
          </w:p>
        </w:tc>
        <w:tc>
          <w:tcPr>
            <w:tcW w:w="1131" w:type="dxa"/>
          </w:tcPr>
          <w:p w14:paraId="4D067C17" w14:textId="28CA27DA" w:rsidR="00887F65" w:rsidRPr="006D67E9" w:rsidRDefault="00E253D1" w:rsidP="00887F6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63</w:t>
            </w:r>
          </w:p>
        </w:tc>
        <w:tc>
          <w:tcPr>
            <w:tcW w:w="1007" w:type="dxa"/>
          </w:tcPr>
          <w:p w14:paraId="0CD350B5" w14:textId="1D06A688" w:rsidR="00887F65" w:rsidRPr="006D67E9" w:rsidRDefault="00E253D1"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57,119</w:t>
            </w:r>
          </w:p>
        </w:tc>
      </w:tr>
      <w:tr w:rsidR="006D67E9" w:rsidRPr="006D67E9" w14:paraId="64C89D73" w14:textId="77777777" w:rsidTr="002E319C">
        <w:trPr>
          <w:trHeight w:val="209"/>
        </w:trPr>
        <w:tc>
          <w:tcPr>
            <w:tcW w:w="2918" w:type="dxa"/>
          </w:tcPr>
          <w:p w14:paraId="50116BA3" w14:textId="77777777" w:rsidR="00887F65" w:rsidRPr="006D67E9" w:rsidRDefault="00887F65" w:rsidP="00887F65">
            <w:pPr>
              <w:keepLines/>
              <w:widowControl w:val="0"/>
              <w:autoSpaceDE w:val="0"/>
              <w:autoSpaceDN w:val="0"/>
              <w:adjustRightInd w:val="0"/>
              <w:rPr>
                <w:rFonts w:asciiTheme="minorHAnsi" w:eastAsia="Calibri" w:hAnsiTheme="minorHAnsi" w:cstheme="minorHAnsi"/>
                <w:sz w:val="16"/>
                <w:szCs w:val="16"/>
              </w:rPr>
            </w:pPr>
            <w:r w:rsidRPr="006D67E9">
              <w:rPr>
                <w:rFonts w:asciiTheme="minorHAnsi" w:eastAsia="Calibri" w:hAnsiTheme="minorHAnsi" w:cstheme="minorHAnsi"/>
                <w:sz w:val="16"/>
                <w:szCs w:val="16"/>
              </w:rPr>
              <w:t>Total comprehensive income</w:t>
            </w:r>
          </w:p>
        </w:tc>
        <w:tc>
          <w:tcPr>
            <w:tcW w:w="1051" w:type="dxa"/>
          </w:tcPr>
          <w:p w14:paraId="475B2501" w14:textId="4DFB9B3A" w:rsidR="00887F65" w:rsidRPr="006D67E9" w:rsidRDefault="00545057" w:rsidP="00887F6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29" w:type="dxa"/>
          </w:tcPr>
          <w:p w14:paraId="0EA77A92" w14:textId="3DD08CAE" w:rsidR="00887F65" w:rsidRPr="006D67E9" w:rsidRDefault="00BA6E19" w:rsidP="00887F6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921</w:t>
            </w:r>
          </w:p>
        </w:tc>
        <w:tc>
          <w:tcPr>
            <w:tcW w:w="1130" w:type="dxa"/>
          </w:tcPr>
          <w:p w14:paraId="4A15F965" w14:textId="350F59B0" w:rsidR="00887F65" w:rsidRPr="006D67E9" w:rsidRDefault="00545057" w:rsidP="00887F6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00" w:type="dxa"/>
          </w:tcPr>
          <w:p w14:paraId="480D8709" w14:textId="28F08C3B" w:rsidR="00887F65" w:rsidRPr="006D67E9" w:rsidRDefault="00545057" w:rsidP="00887F6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31" w:type="dxa"/>
          </w:tcPr>
          <w:p w14:paraId="4A023AF6" w14:textId="2F407E5D" w:rsidR="00887F65" w:rsidRPr="006D67E9" w:rsidRDefault="00545057" w:rsidP="00887F6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007" w:type="dxa"/>
          </w:tcPr>
          <w:p w14:paraId="529CCF46" w14:textId="0204E61D" w:rsidR="00887F65" w:rsidRPr="006D67E9" w:rsidRDefault="00BA6E19"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921</w:t>
            </w:r>
          </w:p>
        </w:tc>
      </w:tr>
      <w:tr w:rsidR="006D67E9" w:rsidRPr="006D67E9" w14:paraId="234FE1C3" w14:textId="77777777" w:rsidTr="002E319C">
        <w:trPr>
          <w:trHeight w:val="221"/>
        </w:trPr>
        <w:tc>
          <w:tcPr>
            <w:tcW w:w="2918" w:type="dxa"/>
          </w:tcPr>
          <w:p w14:paraId="4EBB0A3A" w14:textId="77777777" w:rsidR="00887F65" w:rsidRPr="006D67E9" w:rsidRDefault="00887F65" w:rsidP="00887F65">
            <w:pPr>
              <w:keepLines/>
              <w:widowControl w:val="0"/>
              <w:autoSpaceDE w:val="0"/>
              <w:autoSpaceDN w:val="0"/>
              <w:adjustRightInd w:val="0"/>
              <w:rPr>
                <w:rFonts w:asciiTheme="minorHAnsi" w:eastAsia="Calibri" w:hAnsiTheme="minorHAnsi" w:cstheme="minorHAnsi"/>
                <w:b/>
                <w:sz w:val="16"/>
                <w:szCs w:val="16"/>
              </w:rPr>
            </w:pPr>
            <w:r w:rsidRPr="006D67E9">
              <w:rPr>
                <w:rFonts w:asciiTheme="minorHAnsi" w:eastAsia="Calibri" w:hAnsiTheme="minorHAnsi" w:cstheme="minorHAnsi"/>
                <w:b/>
                <w:sz w:val="16"/>
                <w:szCs w:val="16"/>
              </w:rPr>
              <w:t>Transactions with owners</w:t>
            </w:r>
          </w:p>
        </w:tc>
        <w:tc>
          <w:tcPr>
            <w:tcW w:w="1051" w:type="dxa"/>
          </w:tcPr>
          <w:p w14:paraId="78842EA1"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sz w:val="16"/>
                <w:szCs w:val="16"/>
              </w:rPr>
            </w:pPr>
          </w:p>
        </w:tc>
        <w:tc>
          <w:tcPr>
            <w:tcW w:w="1129" w:type="dxa"/>
          </w:tcPr>
          <w:p w14:paraId="01FDD559"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sz w:val="16"/>
                <w:szCs w:val="16"/>
              </w:rPr>
            </w:pPr>
          </w:p>
        </w:tc>
        <w:tc>
          <w:tcPr>
            <w:tcW w:w="1130" w:type="dxa"/>
          </w:tcPr>
          <w:p w14:paraId="01EE5861"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sz w:val="16"/>
                <w:szCs w:val="16"/>
              </w:rPr>
            </w:pPr>
          </w:p>
        </w:tc>
        <w:tc>
          <w:tcPr>
            <w:tcW w:w="1100" w:type="dxa"/>
          </w:tcPr>
          <w:p w14:paraId="2FC138B0"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sz w:val="16"/>
                <w:szCs w:val="16"/>
              </w:rPr>
            </w:pPr>
          </w:p>
        </w:tc>
        <w:tc>
          <w:tcPr>
            <w:tcW w:w="1131" w:type="dxa"/>
          </w:tcPr>
          <w:p w14:paraId="22A8924C"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sz w:val="16"/>
                <w:szCs w:val="16"/>
              </w:rPr>
            </w:pPr>
          </w:p>
        </w:tc>
        <w:tc>
          <w:tcPr>
            <w:tcW w:w="1007" w:type="dxa"/>
          </w:tcPr>
          <w:p w14:paraId="3801420E"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p>
        </w:tc>
      </w:tr>
      <w:tr w:rsidR="006D67E9" w:rsidRPr="006D67E9" w14:paraId="43701884" w14:textId="77777777" w:rsidTr="00DA5BCB">
        <w:trPr>
          <w:trHeight w:val="209"/>
        </w:trPr>
        <w:tc>
          <w:tcPr>
            <w:tcW w:w="2918" w:type="dxa"/>
          </w:tcPr>
          <w:p w14:paraId="753733B8" w14:textId="77777777" w:rsidR="00FC10D6" w:rsidRPr="006D67E9" w:rsidRDefault="00FC10D6" w:rsidP="00DA5BCB">
            <w:pPr>
              <w:keepLines/>
              <w:widowControl w:val="0"/>
              <w:autoSpaceDE w:val="0"/>
              <w:autoSpaceDN w:val="0"/>
              <w:adjustRightInd w:val="0"/>
              <w:rPr>
                <w:rFonts w:asciiTheme="minorHAnsi" w:eastAsia="Calibri" w:hAnsiTheme="minorHAnsi" w:cstheme="minorHAnsi"/>
                <w:sz w:val="16"/>
                <w:szCs w:val="16"/>
              </w:rPr>
            </w:pPr>
            <w:r w:rsidRPr="006D67E9">
              <w:rPr>
                <w:rFonts w:asciiTheme="minorHAnsi" w:eastAsia="Calibri" w:hAnsiTheme="minorHAnsi" w:cstheme="minorHAnsi"/>
                <w:sz w:val="16"/>
                <w:szCs w:val="16"/>
              </w:rPr>
              <w:t>Purchase of treasury shares</w:t>
            </w:r>
          </w:p>
        </w:tc>
        <w:tc>
          <w:tcPr>
            <w:tcW w:w="1051" w:type="dxa"/>
          </w:tcPr>
          <w:p w14:paraId="61C81C84" w14:textId="77777777" w:rsidR="00FC10D6" w:rsidRPr="006D67E9" w:rsidRDefault="00FC10D6" w:rsidP="00DA5BCB">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29" w:type="dxa"/>
          </w:tcPr>
          <w:p w14:paraId="54FAEBC3" w14:textId="77777777" w:rsidR="00FC10D6" w:rsidRPr="006D67E9" w:rsidRDefault="00FC10D6" w:rsidP="00DA5BCB">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30" w:type="dxa"/>
          </w:tcPr>
          <w:p w14:paraId="393382B0" w14:textId="77777777" w:rsidR="00FC10D6" w:rsidRPr="006D67E9" w:rsidRDefault="00FC10D6" w:rsidP="00DA5BCB">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00" w:type="dxa"/>
          </w:tcPr>
          <w:p w14:paraId="08297488" w14:textId="3C4D778D" w:rsidR="00FC10D6" w:rsidRPr="006D67E9" w:rsidRDefault="00FC10D6" w:rsidP="00DA5BCB">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r w:rsidR="00BA6E19" w:rsidRPr="006D67E9">
              <w:rPr>
                <w:rFonts w:asciiTheme="minorHAnsi" w:eastAsia="Calibri" w:hAnsiTheme="minorHAnsi" w:cstheme="minorHAnsi"/>
                <w:sz w:val="16"/>
                <w:szCs w:val="16"/>
              </w:rPr>
              <w:t>30</w:t>
            </w:r>
            <w:r w:rsidRPr="006D67E9">
              <w:rPr>
                <w:rFonts w:asciiTheme="minorHAnsi" w:eastAsia="Calibri" w:hAnsiTheme="minorHAnsi" w:cstheme="minorHAnsi"/>
                <w:sz w:val="16"/>
                <w:szCs w:val="16"/>
              </w:rPr>
              <w:t>)</w:t>
            </w:r>
          </w:p>
        </w:tc>
        <w:tc>
          <w:tcPr>
            <w:tcW w:w="1131" w:type="dxa"/>
          </w:tcPr>
          <w:p w14:paraId="396829AC" w14:textId="77777777" w:rsidR="00FC10D6" w:rsidRPr="006D67E9" w:rsidRDefault="00FC10D6" w:rsidP="00DA5BCB">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007" w:type="dxa"/>
          </w:tcPr>
          <w:p w14:paraId="6C138206" w14:textId="34FDEED1" w:rsidR="00FC10D6" w:rsidRPr="006D67E9" w:rsidRDefault="00FC10D6" w:rsidP="00DA5BCB">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w:t>
            </w:r>
            <w:r w:rsidR="00BA6E19" w:rsidRPr="006D67E9">
              <w:rPr>
                <w:rFonts w:asciiTheme="minorHAnsi" w:eastAsia="Calibri" w:hAnsiTheme="minorHAnsi" w:cstheme="minorHAnsi"/>
                <w:b/>
                <w:sz w:val="16"/>
                <w:szCs w:val="16"/>
              </w:rPr>
              <w:t>30</w:t>
            </w:r>
            <w:r w:rsidRPr="006D67E9">
              <w:rPr>
                <w:rFonts w:asciiTheme="minorHAnsi" w:eastAsia="Calibri" w:hAnsiTheme="minorHAnsi" w:cstheme="minorHAnsi"/>
                <w:b/>
                <w:sz w:val="16"/>
                <w:szCs w:val="16"/>
              </w:rPr>
              <w:t>)</w:t>
            </w:r>
          </w:p>
        </w:tc>
      </w:tr>
      <w:tr w:rsidR="006D67E9" w:rsidRPr="006D67E9" w14:paraId="043E46F6" w14:textId="77777777" w:rsidTr="002E319C">
        <w:trPr>
          <w:trHeight w:val="221"/>
        </w:trPr>
        <w:tc>
          <w:tcPr>
            <w:tcW w:w="2918" w:type="dxa"/>
          </w:tcPr>
          <w:p w14:paraId="55D5C08C" w14:textId="556489AD" w:rsidR="00887F65" w:rsidRPr="006D67E9" w:rsidRDefault="00887F65" w:rsidP="00887F65">
            <w:pPr>
              <w:keepLines/>
              <w:widowControl w:val="0"/>
              <w:autoSpaceDE w:val="0"/>
              <w:autoSpaceDN w:val="0"/>
              <w:adjustRightInd w:val="0"/>
              <w:rPr>
                <w:rFonts w:asciiTheme="minorHAnsi" w:eastAsia="Calibri" w:hAnsiTheme="minorHAnsi" w:cstheme="minorHAnsi"/>
                <w:sz w:val="16"/>
                <w:szCs w:val="16"/>
              </w:rPr>
            </w:pPr>
            <w:r w:rsidRPr="006D67E9">
              <w:rPr>
                <w:rFonts w:asciiTheme="minorHAnsi" w:eastAsia="Calibri" w:hAnsiTheme="minorHAnsi" w:cstheme="minorHAnsi"/>
                <w:sz w:val="16"/>
                <w:szCs w:val="16"/>
              </w:rPr>
              <w:t xml:space="preserve">Value of </w:t>
            </w:r>
            <w:r w:rsidR="00FC10D6" w:rsidRPr="006D67E9">
              <w:rPr>
                <w:rFonts w:asciiTheme="minorHAnsi" w:eastAsia="Calibri" w:hAnsiTheme="minorHAnsi" w:cstheme="minorHAnsi"/>
                <w:sz w:val="16"/>
                <w:szCs w:val="16"/>
              </w:rPr>
              <w:t>e</w:t>
            </w:r>
            <w:r w:rsidRPr="006D67E9">
              <w:rPr>
                <w:rFonts w:asciiTheme="minorHAnsi" w:eastAsia="Calibri" w:hAnsiTheme="minorHAnsi" w:cstheme="minorHAnsi"/>
                <w:sz w:val="16"/>
                <w:szCs w:val="16"/>
              </w:rPr>
              <w:t>mployee services</w:t>
            </w:r>
          </w:p>
        </w:tc>
        <w:tc>
          <w:tcPr>
            <w:tcW w:w="1051" w:type="dxa"/>
          </w:tcPr>
          <w:p w14:paraId="04489C0C" w14:textId="382C390E" w:rsidR="00887F65" w:rsidRPr="006D67E9" w:rsidRDefault="00545057" w:rsidP="00887F6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29" w:type="dxa"/>
          </w:tcPr>
          <w:p w14:paraId="70971C06" w14:textId="13959FE9" w:rsidR="00887F65" w:rsidRPr="006D67E9" w:rsidRDefault="00545057" w:rsidP="00887F6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30" w:type="dxa"/>
          </w:tcPr>
          <w:p w14:paraId="701AFDB3" w14:textId="6E246E9B" w:rsidR="00887F65" w:rsidRPr="006D67E9" w:rsidRDefault="00545057" w:rsidP="00887F6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00" w:type="dxa"/>
          </w:tcPr>
          <w:p w14:paraId="5683AF0B" w14:textId="06B41CA9" w:rsidR="00887F65" w:rsidRPr="006D67E9" w:rsidRDefault="00545057" w:rsidP="00887F6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31" w:type="dxa"/>
          </w:tcPr>
          <w:p w14:paraId="14DF0BF2" w14:textId="7CC5234F" w:rsidR="00887F65" w:rsidRPr="006D67E9" w:rsidRDefault="00BA6E19" w:rsidP="00887F6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4</w:t>
            </w:r>
            <w:r w:rsidR="00F6546F" w:rsidRPr="006D67E9">
              <w:rPr>
                <w:rFonts w:asciiTheme="minorHAnsi" w:eastAsia="Calibri" w:hAnsiTheme="minorHAnsi" w:cstheme="minorHAnsi"/>
                <w:sz w:val="16"/>
                <w:szCs w:val="16"/>
              </w:rPr>
              <w:t>3</w:t>
            </w:r>
          </w:p>
        </w:tc>
        <w:tc>
          <w:tcPr>
            <w:tcW w:w="1007" w:type="dxa"/>
          </w:tcPr>
          <w:p w14:paraId="4BD9F950" w14:textId="52B3285D" w:rsidR="00887F65" w:rsidRPr="006D67E9" w:rsidRDefault="00BA6E19"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4</w:t>
            </w:r>
            <w:r w:rsidR="00F6546F" w:rsidRPr="006D67E9">
              <w:rPr>
                <w:rFonts w:asciiTheme="minorHAnsi" w:eastAsia="Calibri" w:hAnsiTheme="minorHAnsi" w:cstheme="minorHAnsi"/>
                <w:b/>
                <w:sz w:val="16"/>
                <w:szCs w:val="16"/>
              </w:rPr>
              <w:t>3</w:t>
            </w:r>
          </w:p>
        </w:tc>
      </w:tr>
      <w:tr w:rsidR="006D67E9" w:rsidRPr="006D67E9" w14:paraId="6E9382CB" w14:textId="77777777" w:rsidTr="002E319C">
        <w:trPr>
          <w:trHeight w:val="232"/>
        </w:trPr>
        <w:tc>
          <w:tcPr>
            <w:tcW w:w="2918" w:type="dxa"/>
          </w:tcPr>
          <w:p w14:paraId="1E2294D6" w14:textId="31E1EDC6" w:rsidR="00887F65" w:rsidRPr="006D67E9" w:rsidRDefault="00887F65" w:rsidP="00887F65">
            <w:pPr>
              <w:keepLines/>
              <w:widowControl w:val="0"/>
              <w:autoSpaceDE w:val="0"/>
              <w:autoSpaceDN w:val="0"/>
              <w:adjustRightInd w:val="0"/>
              <w:rPr>
                <w:rFonts w:asciiTheme="minorHAnsi" w:eastAsia="Calibri" w:hAnsiTheme="minorHAnsi" w:cstheme="minorHAnsi"/>
                <w:sz w:val="16"/>
                <w:szCs w:val="16"/>
              </w:rPr>
            </w:pPr>
          </w:p>
        </w:tc>
        <w:tc>
          <w:tcPr>
            <w:tcW w:w="1051" w:type="dxa"/>
            <w:tcBorders>
              <w:bottom w:val="single" w:sz="4" w:space="0" w:color="auto"/>
            </w:tcBorders>
          </w:tcPr>
          <w:p w14:paraId="2FB492F6"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sz w:val="16"/>
                <w:szCs w:val="16"/>
              </w:rPr>
            </w:pPr>
          </w:p>
        </w:tc>
        <w:tc>
          <w:tcPr>
            <w:tcW w:w="1129" w:type="dxa"/>
            <w:tcBorders>
              <w:bottom w:val="single" w:sz="4" w:space="0" w:color="auto"/>
            </w:tcBorders>
          </w:tcPr>
          <w:p w14:paraId="3D76AA34"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sz w:val="16"/>
                <w:szCs w:val="16"/>
              </w:rPr>
            </w:pPr>
          </w:p>
        </w:tc>
        <w:tc>
          <w:tcPr>
            <w:tcW w:w="1130" w:type="dxa"/>
            <w:tcBorders>
              <w:bottom w:val="single" w:sz="4" w:space="0" w:color="auto"/>
            </w:tcBorders>
          </w:tcPr>
          <w:p w14:paraId="0C6C67A2" w14:textId="77777777" w:rsidR="00887F65" w:rsidRPr="006D67E9" w:rsidRDefault="00887F65" w:rsidP="00887F65">
            <w:pPr>
              <w:keepLines/>
              <w:widowControl w:val="0"/>
              <w:autoSpaceDE w:val="0"/>
              <w:autoSpaceDN w:val="0"/>
              <w:adjustRightInd w:val="0"/>
              <w:rPr>
                <w:rFonts w:asciiTheme="minorHAnsi" w:eastAsia="Calibri" w:hAnsiTheme="minorHAnsi" w:cstheme="minorHAnsi"/>
                <w:sz w:val="16"/>
                <w:szCs w:val="16"/>
              </w:rPr>
            </w:pPr>
          </w:p>
        </w:tc>
        <w:tc>
          <w:tcPr>
            <w:tcW w:w="1100" w:type="dxa"/>
            <w:tcBorders>
              <w:bottom w:val="single" w:sz="4" w:space="0" w:color="auto"/>
            </w:tcBorders>
          </w:tcPr>
          <w:p w14:paraId="35D0640E"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sz w:val="16"/>
                <w:szCs w:val="16"/>
              </w:rPr>
            </w:pPr>
          </w:p>
        </w:tc>
        <w:tc>
          <w:tcPr>
            <w:tcW w:w="1131" w:type="dxa"/>
            <w:tcBorders>
              <w:bottom w:val="single" w:sz="4" w:space="0" w:color="auto"/>
            </w:tcBorders>
          </w:tcPr>
          <w:p w14:paraId="169B3B64"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sz w:val="16"/>
                <w:szCs w:val="16"/>
              </w:rPr>
            </w:pPr>
          </w:p>
        </w:tc>
        <w:tc>
          <w:tcPr>
            <w:tcW w:w="1007" w:type="dxa"/>
            <w:tcBorders>
              <w:bottom w:val="single" w:sz="4" w:space="0" w:color="auto"/>
            </w:tcBorders>
          </w:tcPr>
          <w:p w14:paraId="5C4217AF"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p>
        </w:tc>
      </w:tr>
      <w:tr w:rsidR="006D67E9" w:rsidRPr="006D67E9" w14:paraId="62945B6D" w14:textId="77777777" w:rsidTr="002E319C">
        <w:trPr>
          <w:trHeight w:val="760"/>
        </w:trPr>
        <w:tc>
          <w:tcPr>
            <w:tcW w:w="2918" w:type="dxa"/>
          </w:tcPr>
          <w:p w14:paraId="2C0D8701" w14:textId="77777777" w:rsidR="00887F65" w:rsidRPr="006D67E9" w:rsidRDefault="00887F65" w:rsidP="00887F65">
            <w:pPr>
              <w:keepLines/>
              <w:widowControl w:val="0"/>
              <w:autoSpaceDE w:val="0"/>
              <w:autoSpaceDN w:val="0"/>
              <w:adjustRightInd w:val="0"/>
              <w:rPr>
                <w:rFonts w:asciiTheme="minorHAnsi" w:eastAsia="Calibri" w:hAnsiTheme="minorHAnsi" w:cstheme="minorHAnsi"/>
                <w:sz w:val="16"/>
                <w:szCs w:val="16"/>
              </w:rPr>
            </w:pPr>
          </w:p>
          <w:p w14:paraId="1E010283" w14:textId="37357822" w:rsidR="00887F65" w:rsidRPr="006D67E9" w:rsidRDefault="00887F65" w:rsidP="00887F65">
            <w:pPr>
              <w:keepLines/>
              <w:widowControl w:val="0"/>
              <w:autoSpaceDE w:val="0"/>
              <w:autoSpaceDN w:val="0"/>
              <w:adjustRightInd w:val="0"/>
              <w:rPr>
                <w:rFonts w:asciiTheme="minorHAnsi" w:eastAsia="Calibri" w:hAnsiTheme="minorHAnsi" w:cstheme="minorHAnsi"/>
                <w:b/>
                <w:sz w:val="16"/>
                <w:szCs w:val="16"/>
              </w:rPr>
            </w:pPr>
            <w:r w:rsidRPr="006D67E9">
              <w:rPr>
                <w:rFonts w:asciiTheme="minorHAnsi" w:eastAsia="Calibri" w:hAnsiTheme="minorHAnsi" w:cstheme="minorHAnsi"/>
                <w:b/>
                <w:sz w:val="16"/>
                <w:szCs w:val="16"/>
              </w:rPr>
              <w:t>Balance at 31 May 20</w:t>
            </w:r>
            <w:r w:rsidR="00FC10D6" w:rsidRPr="006D67E9">
              <w:rPr>
                <w:rFonts w:asciiTheme="minorHAnsi" w:eastAsia="Calibri" w:hAnsiTheme="minorHAnsi" w:cstheme="minorHAnsi"/>
                <w:b/>
                <w:sz w:val="16"/>
                <w:szCs w:val="16"/>
              </w:rPr>
              <w:t>2</w:t>
            </w:r>
            <w:r w:rsidR="006E687B" w:rsidRPr="006D67E9">
              <w:rPr>
                <w:rFonts w:asciiTheme="minorHAnsi" w:eastAsia="Calibri" w:hAnsiTheme="minorHAnsi" w:cstheme="minorHAnsi"/>
                <w:b/>
                <w:sz w:val="16"/>
                <w:szCs w:val="16"/>
              </w:rPr>
              <w:t>2</w:t>
            </w:r>
          </w:p>
        </w:tc>
        <w:tc>
          <w:tcPr>
            <w:tcW w:w="1051" w:type="dxa"/>
            <w:tcBorders>
              <w:top w:val="single" w:sz="4" w:space="0" w:color="auto"/>
              <w:bottom w:val="double" w:sz="4" w:space="0" w:color="auto"/>
            </w:tcBorders>
          </w:tcPr>
          <w:p w14:paraId="27CA2A91"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bCs/>
                <w:sz w:val="16"/>
                <w:szCs w:val="16"/>
              </w:rPr>
            </w:pPr>
          </w:p>
          <w:p w14:paraId="11CFC163" w14:textId="6E712BA0" w:rsidR="00887F65" w:rsidRPr="006D67E9" w:rsidRDefault="00F6546F" w:rsidP="00887F65">
            <w:pPr>
              <w:keepLines/>
              <w:widowControl w:val="0"/>
              <w:autoSpaceDE w:val="0"/>
              <w:autoSpaceDN w:val="0"/>
              <w:adjustRightInd w:val="0"/>
              <w:jc w:val="right"/>
              <w:rPr>
                <w:rFonts w:asciiTheme="minorHAnsi" w:eastAsia="Calibri" w:hAnsiTheme="minorHAnsi" w:cstheme="minorHAnsi"/>
                <w:b/>
                <w:bCs/>
                <w:sz w:val="16"/>
                <w:szCs w:val="16"/>
              </w:rPr>
            </w:pPr>
            <w:r w:rsidRPr="006D67E9">
              <w:rPr>
                <w:rFonts w:asciiTheme="minorHAnsi" w:eastAsia="Calibri" w:hAnsiTheme="minorHAnsi" w:cstheme="minorHAnsi"/>
                <w:b/>
                <w:bCs/>
                <w:sz w:val="16"/>
                <w:szCs w:val="16"/>
              </w:rPr>
              <w:t>9,252</w:t>
            </w:r>
          </w:p>
        </w:tc>
        <w:tc>
          <w:tcPr>
            <w:tcW w:w="1129" w:type="dxa"/>
            <w:tcBorders>
              <w:top w:val="single" w:sz="4" w:space="0" w:color="auto"/>
              <w:bottom w:val="double" w:sz="4" w:space="0" w:color="auto"/>
            </w:tcBorders>
          </w:tcPr>
          <w:p w14:paraId="6A3ABC18"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bCs/>
                <w:sz w:val="16"/>
                <w:szCs w:val="16"/>
              </w:rPr>
            </w:pPr>
          </w:p>
          <w:p w14:paraId="6A4EC958" w14:textId="52BA0C7F" w:rsidR="00887F65" w:rsidRPr="006D67E9" w:rsidRDefault="00FC10D6" w:rsidP="00887F65">
            <w:pPr>
              <w:keepLines/>
              <w:widowControl w:val="0"/>
              <w:autoSpaceDE w:val="0"/>
              <w:autoSpaceDN w:val="0"/>
              <w:adjustRightInd w:val="0"/>
              <w:jc w:val="right"/>
              <w:rPr>
                <w:rFonts w:asciiTheme="minorHAnsi" w:eastAsia="Calibri" w:hAnsiTheme="minorHAnsi" w:cstheme="minorHAnsi"/>
                <w:b/>
                <w:bCs/>
                <w:sz w:val="16"/>
                <w:szCs w:val="16"/>
              </w:rPr>
            </w:pPr>
            <w:r w:rsidRPr="006D67E9">
              <w:rPr>
                <w:rFonts w:asciiTheme="minorHAnsi" w:eastAsia="Calibri" w:hAnsiTheme="minorHAnsi" w:cstheme="minorHAnsi"/>
                <w:b/>
                <w:bCs/>
                <w:sz w:val="16"/>
                <w:szCs w:val="16"/>
              </w:rPr>
              <w:t>2</w:t>
            </w:r>
            <w:r w:rsidR="00F6546F" w:rsidRPr="006D67E9">
              <w:rPr>
                <w:rFonts w:asciiTheme="minorHAnsi" w:eastAsia="Calibri" w:hAnsiTheme="minorHAnsi" w:cstheme="minorHAnsi"/>
                <w:b/>
                <w:bCs/>
                <w:sz w:val="16"/>
                <w:szCs w:val="16"/>
              </w:rPr>
              <w:t>3,</w:t>
            </w:r>
            <w:r w:rsidR="00BA6E19" w:rsidRPr="006D67E9">
              <w:rPr>
                <w:rFonts w:asciiTheme="minorHAnsi" w:eastAsia="Calibri" w:hAnsiTheme="minorHAnsi" w:cstheme="minorHAnsi"/>
                <w:b/>
                <w:bCs/>
                <w:sz w:val="16"/>
                <w:szCs w:val="16"/>
              </w:rPr>
              <w:t>972</w:t>
            </w:r>
          </w:p>
        </w:tc>
        <w:tc>
          <w:tcPr>
            <w:tcW w:w="1130" w:type="dxa"/>
            <w:tcBorders>
              <w:top w:val="single" w:sz="4" w:space="0" w:color="auto"/>
              <w:bottom w:val="double" w:sz="4" w:space="0" w:color="auto"/>
            </w:tcBorders>
          </w:tcPr>
          <w:p w14:paraId="6B8F32FF"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bCs/>
                <w:sz w:val="16"/>
                <w:szCs w:val="16"/>
              </w:rPr>
            </w:pPr>
          </w:p>
          <w:p w14:paraId="6FA44E67" w14:textId="6AF37607" w:rsidR="00887F65" w:rsidRPr="006D67E9" w:rsidRDefault="00680092" w:rsidP="00887F65">
            <w:pPr>
              <w:keepLines/>
              <w:widowControl w:val="0"/>
              <w:autoSpaceDE w:val="0"/>
              <w:autoSpaceDN w:val="0"/>
              <w:adjustRightInd w:val="0"/>
              <w:jc w:val="right"/>
              <w:rPr>
                <w:rFonts w:asciiTheme="minorHAnsi" w:eastAsia="Calibri" w:hAnsiTheme="minorHAnsi" w:cstheme="minorHAnsi"/>
                <w:b/>
                <w:bCs/>
                <w:sz w:val="16"/>
                <w:szCs w:val="16"/>
              </w:rPr>
            </w:pPr>
            <w:r w:rsidRPr="006D67E9">
              <w:rPr>
                <w:rFonts w:asciiTheme="minorHAnsi" w:eastAsia="Calibri" w:hAnsiTheme="minorHAnsi" w:cstheme="minorHAnsi"/>
                <w:b/>
                <w:bCs/>
                <w:sz w:val="16"/>
                <w:szCs w:val="16"/>
              </w:rPr>
              <w:t>25,543</w:t>
            </w:r>
          </w:p>
          <w:p w14:paraId="0D60C9AB"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bCs/>
                <w:sz w:val="16"/>
                <w:szCs w:val="16"/>
              </w:rPr>
            </w:pPr>
          </w:p>
        </w:tc>
        <w:tc>
          <w:tcPr>
            <w:tcW w:w="1100" w:type="dxa"/>
            <w:tcBorders>
              <w:top w:val="single" w:sz="4" w:space="0" w:color="auto"/>
              <w:bottom w:val="double" w:sz="4" w:space="0" w:color="auto"/>
            </w:tcBorders>
          </w:tcPr>
          <w:p w14:paraId="55256F86"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bCs/>
                <w:sz w:val="16"/>
                <w:szCs w:val="16"/>
              </w:rPr>
            </w:pPr>
          </w:p>
          <w:p w14:paraId="18344FAF" w14:textId="4332739A" w:rsidR="00887F65" w:rsidRPr="006D67E9" w:rsidRDefault="00545057" w:rsidP="00887F65">
            <w:pPr>
              <w:keepLines/>
              <w:widowControl w:val="0"/>
              <w:autoSpaceDE w:val="0"/>
              <w:autoSpaceDN w:val="0"/>
              <w:adjustRightInd w:val="0"/>
              <w:jc w:val="right"/>
              <w:rPr>
                <w:rFonts w:asciiTheme="minorHAnsi" w:eastAsia="Calibri" w:hAnsiTheme="minorHAnsi" w:cstheme="minorHAnsi"/>
                <w:b/>
                <w:bCs/>
                <w:sz w:val="16"/>
                <w:szCs w:val="16"/>
              </w:rPr>
            </w:pPr>
            <w:r w:rsidRPr="006D67E9">
              <w:rPr>
                <w:rFonts w:asciiTheme="minorHAnsi" w:eastAsia="Calibri" w:hAnsiTheme="minorHAnsi" w:cstheme="minorHAnsi"/>
                <w:b/>
                <w:bCs/>
                <w:sz w:val="16"/>
                <w:szCs w:val="16"/>
              </w:rPr>
              <w:t>(</w:t>
            </w:r>
            <w:r w:rsidR="00680092" w:rsidRPr="006D67E9">
              <w:rPr>
                <w:rFonts w:asciiTheme="minorHAnsi" w:eastAsia="Calibri" w:hAnsiTheme="minorHAnsi" w:cstheme="minorHAnsi"/>
                <w:b/>
                <w:bCs/>
                <w:sz w:val="16"/>
                <w:szCs w:val="16"/>
              </w:rPr>
              <w:t>820)</w:t>
            </w:r>
          </w:p>
          <w:p w14:paraId="29E1A48C"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bCs/>
                <w:sz w:val="16"/>
                <w:szCs w:val="16"/>
              </w:rPr>
            </w:pPr>
          </w:p>
        </w:tc>
        <w:tc>
          <w:tcPr>
            <w:tcW w:w="1131" w:type="dxa"/>
            <w:tcBorders>
              <w:top w:val="single" w:sz="4" w:space="0" w:color="auto"/>
              <w:bottom w:val="double" w:sz="4" w:space="0" w:color="auto"/>
            </w:tcBorders>
          </w:tcPr>
          <w:p w14:paraId="50725CA2"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bCs/>
                <w:sz w:val="16"/>
                <w:szCs w:val="16"/>
              </w:rPr>
            </w:pPr>
          </w:p>
          <w:p w14:paraId="4E58A185" w14:textId="76912656" w:rsidR="00887F65" w:rsidRPr="006D67E9" w:rsidRDefault="00680092" w:rsidP="00887F65">
            <w:pPr>
              <w:keepLines/>
              <w:widowControl w:val="0"/>
              <w:autoSpaceDE w:val="0"/>
              <w:autoSpaceDN w:val="0"/>
              <w:adjustRightInd w:val="0"/>
              <w:jc w:val="right"/>
              <w:rPr>
                <w:rFonts w:asciiTheme="minorHAnsi" w:eastAsia="Calibri" w:hAnsiTheme="minorHAnsi" w:cstheme="minorHAnsi"/>
                <w:b/>
                <w:bCs/>
                <w:sz w:val="16"/>
                <w:szCs w:val="16"/>
              </w:rPr>
            </w:pPr>
            <w:r w:rsidRPr="006D67E9">
              <w:rPr>
                <w:rFonts w:asciiTheme="minorHAnsi" w:eastAsia="Calibri" w:hAnsiTheme="minorHAnsi" w:cstheme="minorHAnsi"/>
                <w:b/>
                <w:bCs/>
                <w:sz w:val="16"/>
                <w:szCs w:val="16"/>
              </w:rPr>
              <w:t>106</w:t>
            </w:r>
          </w:p>
        </w:tc>
        <w:tc>
          <w:tcPr>
            <w:tcW w:w="1007" w:type="dxa"/>
            <w:tcBorders>
              <w:top w:val="single" w:sz="4" w:space="0" w:color="auto"/>
              <w:bottom w:val="double" w:sz="4" w:space="0" w:color="auto"/>
            </w:tcBorders>
          </w:tcPr>
          <w:p w14:paraId="39395005"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p>
          <w:p w14:paraId="66BFAE73" w14:textId="20A5D36C" w:rsidR="00887F65" w:rsidRPr="006D67E9" w:rsidRDefault="00545057" w:rsidP="00887F6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5</w:t>
            </w:r>
            <w:r w:rsidR="00680092" w:rsidRPr="006D67E9">
              <w:rPr>
                <w:rFonts w:asciiTheme="minorHAnsi" w:eastAsia="Calibri" w:hAnsiTheme="minorHAnsi" w:cstheme="minorHAnsi"/>
                <w:b/>
                <w:sz w:val="16"/>
                <w:szCs w:val="16"/>
              </w:rPr>
              <w:t>8,053</w:t>
            </w:r>
          </w:p>
        </w:tc>
      </w:tr>
      <w:tr w:rsidR="006D67E9" w:rsidRPr="006D67E9" w14:paraId="0D9B0A36" w14:textId="77777777" w:rsidTr="002E319C">
        <w:trPr>
          <w:trHeight w:val="209"/>
        </w:trPr>
        <w:tc>
          <w:tcPr>
            <w:tcW w:w="2918" w:type="dxa"/>
          </w:tcPr>
          <w:p w14:paraId="708442C8" w14:textId="77777777" w:rsidR="00887F65" w:rsidRPr="006D67E9" w:rsidRDefault="00887F65" w:rsidP="00887F65">
            <w:pPr>
              <w:keepLines/>
              <w:widowControl w:val="0"/>
              <w:autoSpaceDE w:val="0"/>
              <w:autoSpaceDN w:val="0"/>
              <w:adjustRightInd w:val="0"/>
              <w:rPr>
                <w:rFonts w:asciiTheme="minorHAnsi" w:eastAsia="Calibri" w:hAnsiTheme="minorHAnsi" w:cstheme="minorHAnsi"/>
                <w:sz w:val="16"/>
                <w:szCs w:val="16"/>
              </w:rPr>
            </w:pPr>
          </w:p>
        </w:tc>
        <w:tc>
          <w:tcPr>
            <w:tcW w:w="1051" w:type="dxa"/>
            <w:tcBorders>
              <w:top w:val="double" w:sz="4" w:space="0" w:color="auto"/>
            </w:tcBorders>
          </w:tcPr>
          <w:p w14:paraId="1D02D8DC"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sz w:val="16"/>
                <w:szCs w:val="16"/>
              </w:rPr>
            </w:pPr>
          </w:p>
        </w:tc>
        <w:tc>
          <w:tcPr>
            <w:tcW w:w="1129" w:type="dxa"/>
          </w:tcPr>
          <w:p w14:paraId="11464079"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sz w:val="16"/>
                <w:szCs w:val="16"/>
              </w:rPr>
            </w:pPr>
          </w:p>
        </w:tc>
        <w:tc>
          <w:tcPr>
            <w:tcW w:w="1130" w:type="dxa"/>
          </w:tcPr>
          <w:p w14:paraId="4F241F8C"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sz w:val="16"/>
                <w:szCs w:val="16"/>
              </w:rPr>
            </w:pPr>
          </w:p>
        </w:tc>
        <w:tc>
          <w:tcPr>
            <w:tcW w:w="1100" w:type="dxa"/>
            <w:tcBorders>
              <w:top w:val="double" w:sz="4" w:space="0" w:color="auto"/>
            </w:tcBorders>
          </w:tcPr>
          <w:p w14:paraId="37DB238A"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sz w:val="16"/>
                <w:szCs w:val="16"/>
              </w:rPr>
            </w:pPr>
          </w:p>
        </w:tc>
        <w:tc>
          <w:tcPr>
            <w:tcW w:w="1131" w:type="dxa"/>
          </w:tcPr>
          <w:p w14:paraId="6CEF2B43"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sz w:val="16"/>
                <w:szCs w:val="16"/>
              </w:rPr>
            </w:pPr>
          </w:p>
        </w:tc>
        <w:tc>
          <w:tcPr>
            <w:tcW w:w="1007" w:type="dxa"/>
          </w:tcPr>
          <w:p w14:paraId="2E5BAA25" w14:textId="77777777" w:rsidR="00887F65" w:rsidRPr="006D67E9" w:rsidRDefault="00887F65" w:rsidP="00887F65">
            <w:pPr>
              <w:keepLines/>
              <w:widowControl w:val="0"/>
              <w:autoSpaceDE w:val="0"/>
              <w:autoSpaceDN w:val="0"/>
              <w:adjustRightInd w:val="0"/>
              <w:jc w:val="right"/>
              <w:rPr>
                <w:rFonts w:asciiTheme="minorHAnsi" w:eastAsia="Calibri" w:hAnsiTheme="minorHAnsi" w:cstheme="minorHAnsi"/>
                <w:b/>
                <w:sz w:val="16"/>
                <w:szCs w:val="16"/>
              </w:rPr>
            </w:pPr>
          </w:p>
        </w:tc>
      </w:tr>
      <w:tr w:rsidR="006D67E9" w:rsidRPr="006D67E9" w14:paraId="72370215" w14:textId="77777777" w:rsidTr="002E319C">
        <w:trPr>
          <w:trHeight w:val="209"/>
        </w:trPr>
        <w:tc>
          <w:tcPr>
            <w:tcW w:w="2918" w:type="dxa"/>
          </w:tcPr>
          <w:p w14:paraId="174ED166" w14:textId="77777777" w:rsidR="002E319C" w:rsidRPr="006D67E9" w:rsidRDefault="002E319C" w:rsidP="00887F65">
            <w:pPr>
              <w:keepLines/>
              <w:widowControl w:val="0"/>
              <w:autoSpaceDE w:val="0"/>
              <w:autoSpaceDN w:val="0"/>
              <w:adjustRightInd w:val="0"/>
              <w:rPr>
                <w:rFonts w:asciiTheme="minorHAnsi" w:eastAsia="Calibri" w:hAnsiTheme="minorHAnsi" w:cstheme="minorHAnsi"/>
                <w:sz w:val="16"/>
                <w:szCs w:val="16"/>
              </w:rPr>
            </w:pPr>
          </w:p>
        </w:tc>
        <w:tc>
          <w:tcPr>
            <w:tcW w:w="1051" w:type="dxa"/>
          </w:tcPr>
          <w:p w14:paraId="45C3FEA9" w14:textId="77777777" w:rsidR="002E319C" w:rsidRPr="006D67E9" w:rsidRDefault="002E319C" w:rsidP="00887F65">
            <w:pPr>
              <w:keepLines/>
              <w:widowControl w:val="0"/>
              <w:autoSpaceDE w:val="0"/>
              <w:autoSpaceDN w:val="0"/>
              <w:adjustRightInd w:val="0"/>
              <w:jc w:val="right"/>
              <w:rPr>
                <w:rFonts w:asciiTheme="minorHAnsi" w:eastAsia="Calibri" w:hAnsiTheme="minorHAnsi" w:cstheme="minorHAnsi"/>
                <w:sz w:val="16"/>
                <w:szCs w:val="16"/>
              </w:rPr>
            </w:pPr>
          </w:p>
        </w:tc>
        <w:tc>
          <w:tcPr>
            <w:tcW w:w="1129" w:type="dxa"/>
          </w:tcPr>
          <w:p w14:paraId="0B0D739D" w14:textId="77777777" w:rsidR="002E319C" w:rsidRPr="006D67E9" w:rsidRDefault="002E319C" w:rsidP="00887F65">
            <w:pPr>
              <w:keepLines/>
              <w:widowControl w:val="0"/>
              <w:autoSpaceDE w:val="0"/>
              <w:autoSpaceDN w:val="0"/>
              <w:adjustRightInd w:val="0"/>
              <w:jc w:val="right"/>
              <w:rPr>
                <w:rFonts w:asciiTheme="minorHAnsi" w:eastAsia="Calibri" w:hAnsiTheme="minorHAnsi" w:cstheme="minorHAnsi"/>
                <w:sz w:val="16"/>
                <w:szCs w:val="16"/>
              </w:rPr>
            </w:pPr>
          </w:p>
        </w:tc>
        <w:tc>
          <w:tcPr>
            <w:tcW w:w="1130" w:type="dxa"/>
          </w:tcPr>
          <w:p w14:paraId="1E18F5D3" w14:textId="77777777" w:rsidR="002E319C" w:rsidRPr="006D67E9" w:rsidRDefault="002E319C" w:rsidP="00887F65">
            <w:pPr>
              <w:keepLines/>
              <w:widowControl w:val="0"/>
              <w:autoSpaceDE w:val="0"/>
              <w:autoSpaceDN w:val="0"/>
              <w:adjustRightInd w:val="0"/>
              <w:jc w:val="right"/>
              <w:rPr>
                <w:rFonts w:asciiTheme="minorHAnsi" w:eastAsia="Calibri" w:hAnsiTheme="minorHAnsi" w:cstheme="minorHAnsi"/>
                <w:sz w:val="16"/>
                <w:szCs w:val="16"/>
              </w:rPr>
            </w:pPr>
          </w:p>
        </w:tc>
        <w:tc>
          <w:tcPr>
            <w:tcW w:w="1100" w:type="dxa"/>
          </w:tcPr>
          <w:p w14:paraId="3E9B6470" w14:textId="77777777" w:rsidR="002E319C" w:rsidRPr="006D67E9" w:rsidRDefault="002E319C" w:rsidP="00887F65">
            <w:pPr>
              <w:keepLines/>
              <w:widowControl w:val="0"/>
              <w:autoSpaceDE w:val="0"/>
              <w:autoSpaceDN w:val="0"/>
              <w:adjustRightInd w:val="0"/>
              <w:jc w:val="right"/>
              <w:rPr>
                <w:rFonts w:asciiTheme="minorHAnsi" w:eastAsia="Calibri" w:hAnsiTheme="minorHAnsi" w:cstheme="minorHAnsi"/>
                <w:sz w:val="16"/>
                <w:szCs w:val="16"/>
              </w:rPr>
            </w:pPr>
          </w:p>
        </w:tc>
        <w:tc>
          <w:tcPr>
            <w:tcW w:w="1131" w:type="dxa"/>
          </w:tcPr>
          <w:p w14:paraId="6A68ECC9" w14:textId="77777777" w:rsidR="002E319C" w:rsidRPr="006D67E9" w:rsidRDefault="002E319C" w:rsidP="00887F65">
            <w:pPr>
              <w:keepLines/>
              <w:widowControl w:val="0"/>
              <w:autoSpaceDE w:val="0"/>
              <w:autoSpaceDN w:val="0"/>
              <w:adjustRightInd w:val="0"/>
              <w:jc w:val="right"/>
              <w:rPr>
                <w:rFonts w:asciiTheme="minorHAnsi" w:eastAsia="Calibri" w:hAnsiTheme="minorHAnsi" w:cstheme="minorHAnsi"/>
                <w:sz w:val="16"/>
                <w:szCs w:val="16"/>
              </w:rPr>
            </w:pPr>
          </w:p>
        </w:tc>
        <w:tc>
          <w:tcPr>
            <w:tcW w:w="1007" w:type="dxa"/>
          </w:tcPr>
          <w:p w14:paraId="5650BB87" w14:textId="77777777" w:rsidR="002E319C" w:rsidRPr="006D67E9" w:rsidRDefault="002E319C" w:rsidP="00887F65">
            <w:pPr>
              <w:keepLines/>
              <w:widowControl w:val="0"/>
              <w:autoSpaceDE w:val="0"/>
              <w:autoSpaceDN w:val="0"/>
              <w:adjustRightInd w:val="0"/>
              <w:jc w:val="right"/>
              <w:rPr>
                <w:rFonts w:asciiTheme="minorHAnsi" w:eastAsia="Calibri" w:hAnsiTheme="minorHAnsi" w:cstheme="minorHAnsi"/>
                <w:b/>
                <w:sz w:val="16"/>
                <w:szCs w:val="16"/>
              </w:rPr>
            </w:pPr>
          </w:p>
        </w:tc>
      </w:tr>
      <w:tr w:rsidR="006D67E9" w:rsidRPr="006D67E9" w14:paraId="58FEEF26" w14:textId="77777777" w:rsidTr="002E319C">
        <w:trPr>
          <w:trHeight w:val="209"/>
        </w:trPr>
        <w:tc>
          <w:tcPr>
            <w:tcW w:w="2918" w:type="dxa"/>
          </w:tcPr>
          <w:p w14:paraId="0FE37903" w14:textId="77777777" w:rsidR="00733C45" w:rsidRPr="006D67E9" w:rsidRDefault="00733C45" w:rsidP="00733C45">
            <w:pPr>
              <w:keepLines/>
              <w:widowControl w:val="0"/>
              <w:autoSpaceDE w:val="0"/>
              <w:autoSpaceDN w:val="0"/>
              <w:adjustRightInd w:val="0"/>
              <w:rPr>
                <w:rFonts w:asciiTheme="minorHAnsi" w:eastAsia="Calibri" w:hAnsiTheme="minorHAnsi" w:cstheme="minorHAnsi"/>
                <w:sz w:val="16"/>
                <w:szCs w:val="16"/>
              </w:rPr>
            </w:pPr>
            <w:r w:rsidRPr="006D67E9">
              <w:rPr>
                <w:rFonts w:asciiTheme="minorHAnsi" w:eastAsia="Calibri" w:hAnsiTheme="minorHAnsi" w:cstheme="minorHAnsi"/>
                <w:sz w:val="16"/>
                <w:szCs w:val="16"/>
              </w:rPr>
              <w:t>Total comprehensive income</w:t>
            </w:r>
          </w:p>
        </w:tc>
        <w:tc>
          <w:tcPr>
            <w:tcW w:w="1051" w:type="dxa"/>
          </w:tcPr>
          <w:p w14:paraId="24A60ED4" w14:textId="24A8295C"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29" w:type="dxa"/>
          </w:tcPr>
          <w:p w14:paraId="1193B156" w14:textId="4472317E" w:rsidR="00733C45" w:rsidRPr="006D67E9" w:rsidRDefault="00680092" w:rsidP="00733C4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3,447</w:t>
            </w:r>
          </w:p>
        </w:tc>
        <w:tc>
          <w:tcPr>
            <w:tcW w:w="1130" w:type="dxa"/>
          </w:tcPr>
          <w:p w14:paraId="6A06ED4E" w14:textId="74644D1D"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00" w:type="dxa"/>
          </w:tcPr>
          <w:p w14:paraId="26CACAF7" w14:textId="7AED1234"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31" w:type="dxa"/>
          </w:tcPr>
          <w:p w14:paraId="4CD92259" w14:textId="35C19488"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007" w:type="dxa"/>
          </w:tcPr>
          <w:p w14:paraId="41078826" w14:textId="2C20BEF5" w:rsidR="00733C45" w:rsidRPr="006D67E9" w:rsidRDefault="00680092" w:rsidP="00733C4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3,447</w:t>
            </w:r>
          </w:p>
        </w:tc>
      </w:tr>
      <w:tr w:rsidR="006D67E9" w:rsidRPr="006D67E9" w14:paraId="5CFFCDA0" w14:textId="77777777" w:rsidTr="002E319C">
        <w:trPr>
          <w:trHeight w:val="209"/>
        </w:trPr>
        <w:tc>
          <w:tcPr>
            <w:tcW w:w="2918" w:type="dxa"/>
          </w:tcPr>
          <w:p w14:paraId="0C9857CC" w14:textId="77777777" w:rsidR="00733C45" w:rsidRPr="006D67E9" w:rsidRDefault="00733C45" w:rsidP="00733C45">
            <w:pPr>
              <w:keepLines/>
              <w:widowControl w:val="0"/>
              <w:autoSpaceDE w:val="0"/>
              <w:autoSpaceDN w:val="0"/>
              <w:adjustRightInd w:val="0"/>
              <w:rPr>
                <w:rFonts w:asciiTheme="minorHAnsi" w:eastAsia="Calibri" w:hAnsiTheme="minorHAnsi" w:cstheme="minorHAnsi"/>
                <w:sz w:val="16"/>
                <w:szCs w:val="16"/>
              </w:rPr>
            </w:pPr>
            <w:r w:rsidRPr="006D67E9">
              <w:rPr>
                <w:rFonts w:asciiTheme="minorHAnsi" w:eastAsia="Calibri" w:hAnsiTheme="minorHAnsi" w:cstheme="minorHAnsi"/>
                <w:b/>
                <w:sz w:val="16"/>
                <w:szCs w:val="16"/>
              </w:rPr>
              <w:t>Transactions with owners</w:t>
            </w:r>
          </w:p>
        </w:tc>
        <w:tc>
          <w:tcPr>
            <w:tcW w:w="1051" w:type="dxa"/>
          </w:tcPr>
          <w:p w14:paraId="4B6CDC17"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p>
        </w:tc>
        <w:tc>
          <w:tcPr>
            <w:tcW w:w="1129" w:type="dxa"/>
          </w:tcPr>
          <w:p w14:paraId="2A4433ED"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p>
        </w:tc>
        <w:tc>
          <w:tcPr>
            <w:tcW w:w="1130" w:type="dxa"/>
          </w:tcPr>
          <w:p w14:paraId="1588CF36"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p>
        </w:tc>
        <w:tc>
          <w:tcPr>
            <w:tcW w:w="1100" w:type="dxa"/>
          </w:tcPr>
          <w:p w14:paraId="3C82025D"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p>
        </w:tc>
        <w:tc>
          <w:tcPr>
            <w:tcW w:w="1131" w:type="dxa"/>
          </w:tcPr>
          <w:p w14:paraId="62A18904"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p>
        </w:tc>
        <w:tc>
          <w:tcPr>
            <w:tcW w:w="1007" w:type="dxa"/>
          </w:tcPr>
          <w:p w14:paraId="6A12597C" w14:textId="77777777" w:rsidR="00733C45" w:rsidRPr="006D67E9" w:rsidRDefault="00733C45" w:rsidP="00733C45">
            <w:pPr>
              <w:keepLines/>
              <w:widowControl w:val="0"/>
              <w:autoSpaceDE w:val="0"/>
              <w:autoSpaceDN w:val="0"/>
              <w:adjustRightInd w:val="0"/>
              <w:jc w:val="center"/>
              <w:rPr>
                <w:rFonts w:asciiTheme="minorHAnsi" w:eastAsia="Calibri" w:hAnsiTheme="minorHAnsi" w:cstheme="minorHAnsi"/>
                <w:b/>
                <w:sz w:val="16"/>
                <w:szCs w:val="16"/>
              </w:rPr>
            </w:pPr>
          </w:p>
        </w:tc>
      </w:tr>
      <w:tr w:rsidR="00E253D1" w:rsidRPr="006D67E9" w14:paraId="30D7F827" w14:textId="77777777" w:rsidTr="002E319C">
        <w:trPr>
          <w:trHeight w:val="209"/>
        </w:trPr>
        <w:tc>
          <w:tcPr>
            <w:tcW w:w="2918" w:type="dxa"/>
          </w:tcPr>
          <w:p w14:paraId="6BCE0B7B" w14:textId="77777777" w:rsidR="00E253D1" w:rsidRPr="006D67E9" w:rsidRDefault="00E253D1" w:rsidP="00733C45">
            <w:pPr>
              <w:keepLines/>
              <w:widowControl w:val="0"/>
              <w:autoSpaceDE w:val="0"/>
              <w:autoSpaceDN w:val="0"/>
              <w:adjustRightInd w:val="0"/>
              <w:rPr>
                <w:rFonts w:eastAsia="Calibri" w:cstheme="minorHAnsi"/>
                <w:sz w:val="16"/>
                <w:szCs w:val="16"/>
              </w:rPr>
            </w:pPr>
          </w:p>
        </w:tc>
        <w:tc>
          <w:tcPr>
            <w:tcW w:w="1051" w:type="dxa"/>
          </w:tcPr>
          <w:p w14:paraId="5A9B52FC" w14:textId="77777777" w:rsidR="00E253D1" w:rsidRPr="006D67E9" w:rsidRDefault="00E253D1" w:rsidP="00733C45">
            <w:pPr>
              <w:keepLines/>
              <w:widowControl w:val="0"/>
              <w:autoSpaceDE w:val="0"/>
              <w:autoSpaceDN w:val="0"/>
              <w:adjustRightInd w:val="0"/>
              <w:jc w:val="right"/>
              <w:rPr>
                <w:rFonts w:eastAsia="Calibri" w:cstheme="minorHAnsi"/>
                <w:sz w:val="16"/>
                <w:szCs w:val="16"/>
              </w:rPr>
            </w:pPr>
          </w:p>
        </w:tc>
        <w:tc>
          <w:tcPr>
            <w:tcW w:w="1129" w:type="dxa"/>
          </w:tcPr>
          <w:p w14:paraId="13CB7D91" w14:textId="77777777" w:rsidR="00E253D1" w:rsidRPr="006D67E9" w:rsidRDefault="00E253D1" w:rsidP="00733C45">
            <w:pPr>
              <w:keepLines/>
              <w:widowControl w:val="0"/>
              <w:autoSpaceDE w:val="0"/>
              <w:autoSpaceDN w:val="0"/>
              <w:adjustRightInd w:val="0"/>
              <w:jc w:val="right"/>
              <w:rPr>
                <w:rFonts w:eastAsia="Calibri" w:cstheme="minorHAnsi"/>
                <w:sz w:val="16"/>
                <w:szCs w:val="16"/>
              </w:rPr>
            </w:pPr>
          </w:p>
        </w:tc>
        <w:tc>
          <w:tcPr>
            <w:tcW w:w="1130" w:type="dxa"/>
          </w:tcPr>
          <w:p w14:paraId="009CEC5C" w14:textId="77777777" w:rsidR="00E253D1" w:rsidRPr="006D67E9" w:rsidRDefault="00E253D1" w:rsidP="00733C45">
            <w:pPr>
              <w:keepLines/>
              <w:widowControl w:val="0"/>
              <w:autoSpaceDE w:val="0"/>
              <w:autoSpaceDN w:val="0"/>
              <w:adjustRightInd w:val="0"/>
              <w:jc w:val="right"/>
              <w:rPr>
                <w:rFonts w:eastAsia="Calibri" w:cstheme="minorHAnsi"/>
                <w:sz w:val="16"/>
                <w:szCs w:val="16"/>
              </w:rPr>
            </w:pPr>
          </w:p>
        </w:tc>
        <w:tc>
          <w:tcPr>
            <w:tcW w:w="1100" w:type="dxa"/>
          </w:tcPr>
          <w:p w14:paraId="1F24403E" w14:textId="77777777" w:rsidR="00E253D1" w:rsidRPr="006D67E9" w:rsidRDefault="00E253D1" w:rsidP="00733C45">
            <w:pPr>
              <w:keepLines/>
              <w:widowControl w:val="0"/>
              <w:autoSpaceDE w:val="0"/>
              <w:autoSpaceDN w:val="0"/>
              <w:adjustRightInd w:val="0"/>
              <w:jc w:val="right"/>
              <w:rPr>
                <w:rFonts w:eastAsia="Calibri" w:cstheme="minorHAnsi"/>
                <w:sz w:val="16"/>
                <w:szCs w:val="16"/>
              </w:rPr>
            </w:pPr>
          </w:p>
        </w:tc>
        <w:tc>
          <w:tcPr>
            <w:tcW w:w="1131" w:type="dxa"/>
          </w:tcPr>
          <w:p w14:paraId="4CC1548E" w14:textId="77777777" w:rsidR="00E253D1" w:rsidRPr="006D67E9" w:rsidRDefault="00E253D1" w:rsidP="00733C45">
            <w:pPr>
              <w:keepLines/>
              <w:widowControl w:val="0"/>
              <w:autoSpaceDE w:val="0"/>
              <w:autoSpaceDN w:val="0"/>
              <w:adjustRightInd w:val="0"/>
              <w:jc w:val="right"/>
              <w:rPr>
                <w:rFonts w:eastAsia="Calibri" w:cstheme="minorHAnsi"/>
                <w:sz w:val="16"/>
                <w:szCs w:val="16"/>
              </w:rPr>
            </w:pPr>
          </w:p>
        </w:tc>
        <w:tc>
          <w:tcPr>
            <w:tcW w:w="1007" w:type="dxa"/>
          </w:tcPr>
          <w:p w14:paraId="2FD59C3F" w14:textId="77777777" w:rsidR="00E253D1" w:rsidRPr="006D67E9" w:rsidRDefault="00E253D1" w:rsidP="00733C45">
            <w:pPr>
              <w:keepLines/>
              <w:widowControl w:val="0"/>
              <w:autoSpaceDE w:val="0"/>
              <w:autoSpaceDN w:val="0"/>
              <w:adjustRightInd w:val="0"/>
              <w:jc w:val="right"/>
              <w:rPr>
                <w:rFonts w:eastAsia="Calibri" w:cstheme="minorHAnsi"/>
                <w:b/>
                <w:sz w:val="16"/>
                <w:szCs w:val="16"/>
              </w:rPr>
            </w:pPr>
          </w:p>
        </w:tc>
      </w:tr>
      <w:tr w:rsidR="006D67E9" w:rsidRPr="006D67E9" w14:paraId="7B002AFB" w14:textId="77777777" w:rsidTr="002E319C">
        <w:trPr>
          <w:trHeight w:val="209"/>
        </w:trPr>
        <w:tc>
          <w:tcPr>
            <w:tcW w:w="2918" w:type="dxa"/>
          </w:tcPr>
          <w:p w14:paraId="348A9BBB" w14:textId="0A862A7E" w:rsidR="00733C45" w:rsidRPr="006D67E9" w:rsidRDefault="00C76877" w:rsidP="00733C45">
            <w:pPr>
              <w:keepLines/>
              <w:widowControl w:val="0"/>
              <w:autoSpaceDE w:val="0"/>
              <w:autoSpaceDN w:val="0"/>
              <w:adjustRightInd w:val="0"/>
              <w:rPr>
                <w:rFonts w:asciiTheme="minorHAnsi" w:eastAsia="Calibri" w:hAnsiTheme="minorHAnsi" w:cstheme="minorHAnsi"/>
                <w:sz w:val="16"/>
                <w:szCs w:val="16"/>
              </w:rPr>
            </w:pPr>
            <w:r w:rsidRPr="006D67E9">
              <w:rPr>
                <w:rFonts w:asciiTheme="minorHAnsi" w:eastAsia="Calibri" w:hAnsiTheme="minorHAnsi" w:cstheme="minorHAnsi"/>
                <w:sz w:val="16"/>
                <w:szCs w:val="16"/>
              </w:rPr>
              <w:t>Sale</w:t>
            </w:r>
            <w:r w:rsidR="00733C45" w:rsidRPr="006D67E9">
              <w:rPr>
                <w:rFonts w:asciiTheme="minorHAnsi" w:eastAsia="Calibri" w:hAnsiTheme="minorHAnsi" w:cstheme="minorHAnsi"/>
                <w:sz w:val="16"/>
                <w:szCs w:val="16"/>
              </w:rPr>
              <w:t xml:space="preserve"> of treasury shares</w:t>
            </w:r>
          </w:p>
        </w:tc>
        <w:tc>
          <w:tcPr>
            <w:tcW w:w="1051" w:type="dxa"/>
          </w:tcPr>
          <w:p w14:paraId="448527A8" w14:textId="2E5BE883"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29" w:type="dxa"/>
          </w:tcPr>
          <w:p w14:paraId="434F1FE3" w14:textId="35904FF6"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30" w:type="dxa"/>
          </w:tcPr>
          <w:p w14:paraId="4D8728B9" w14:textId="1D34895F"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00" w:type="dxa"/>
          </w:tcPr>
          <w:p w14:paraId="55321234" w14:textId="0F4288BE" w:rsidR="00733C45" w:rsidRPr="006D67E9" w:rsidRDefault="00C76877" w:rsidP="00733C4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50</w:t>
            </w:r>
          </w:p>
        </w:tc>
        <w:tc>
          <w:tcPr>
            <w:tcW w:w="1131" w:type="dxa"/>
          </w:tcPr>
          <w:p w14:paraId="7CF13C4A" w14:textId="497A10E3"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007" w:type="dxa"/>
          </w:tcPr>
          <w:p w14:paraId="4DA2D632" w14:textId="0E762082" w:rsidR="00733C45" w:rsidRPr="006D67E9" w:rsidRDefault="00C76877" w:rsidP="00733C4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50</w:t>
            </w:r>
          </w:p>
        </w:tc>
      </w:tr>
      <w:tr w:rsidR="006D67E9" w:rsidRPr="006D67E9" w14:paraId="5A01B227" w14:textId="77777777" w:rsidTr="002E319C">
        <w:trPr>
          <w:trHeight w:val="209"/>
        </w:trPr>
        <w:tc>
          <w:tcPr>
            <w:tcW w:w="2918" w:type="dxa"/>
          </w:tcPr>
          <w:p w14:paraId="27DC6CBA" w14:textId="29D2100D" w:rsidR="00733C45" w:rsidRPr="006D67E9" w:rsidRDefault="00733C45" w:rsidP="00733C45">
            <w:pPr>
              <w:keepLines/>
              <w:widowControl w:val="0"/>
              <w:autoSpaceDE w:val="0"/>
              <w:autoSpaceDN w:val="0"/>
              <w:adjustRightInd w:val="0"/>
              <w:rPr>
                <w:rFonts w:asciiTheme="minorHAnsi" w:eastAsia="Calibri" w:hAnsiTheme="minorHAnsi" w:cstheme="minorHAnsi"/>
                <w:sz w:val="16"/>
                <w:szCs w:val="16"/>
              </w:rPr>
            </w:pPr>
            <w:r w:rsidRPr="006D67E9">
              <w:rPr>
                <w:rFonts w:asciiTheme="minorHAnsi" w:eastAsia="Calibri" w:hAnsiTheme="minorHAnsi" w:cstheme="minorHAnsi"/>
                <w:sz w:val="16"/>
                <w:szCs w:val="16"/>
              </w:rPr>
              <w:t>Value of employee services</w:t>
            </w:r>
          </w:p>
        </w:tc>
        <w:tc>
          <w:tcPr>
            <w:tcW w:w="1051" w:type="dxa"/>
          </w:tcPr>
          <w:p w14:paraId="4E43E72C" w14:textId="3C456955"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29" w:type="dxa"/>
          </w:tcPr>
          <w:p w14:paraId="1E086764" w14:textId="5717C553"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30" w:type="dxa"/>
          </w:tcPr>
          <w:p w14:paraId="43732A17" w14:textId="2604874E"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00" w:type="dxa"/>
          </w:tcPr>
          <w:p w14:paraId="34228820" w14:textId="7AEE379C"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w:t>
            </w:r>
          </w:p>
        </w:tc>
        <w:tc>
          <w:tcPr>
            <w:tcW w:w="1131" w:type="dxa"/>
          </w:tcPr>
          <w:p w14:paraId="2BCD1050" w14:textId="6E6C0218" w:rsidR="00733C45" w:rsidRPr="006D67E9" w:rsidRDefault="006D67E9" w:rsidP="00733C45">
            <w:pPr>
              <w:keepLines/>
              <w:widowControl w:val="0"/>
              <w:autoSpaceDE w:val="0"/>
              <w:autoSpaceDN w:val="0"/>
              <w:adjustRightInd w:val="0"/>
              <w:jc w:val="right"/>
              <w:rPr>
                <w:rFonts w:asciiTheme="minorHAnsi" w:eastAsia="Calibri" w:hAnsiTheme="minorHAnsi" w:cstheme="minorHAnsi"/>
                <w:sz w:val="16"/>
                <w:szCs w:val="16"/>
              </w:rPr>
            </w:pPr>
            <w:r w:rsidRPr="006D67E9">
              <w:rPr>
                <w:rFonts w:asciiTheme="minorHAnsi" w:eastAsia="Calibri" w:hAnsiTheme="minorHAnsi" w:cstheme="minorHAnsi"/>
                <w:sz w:val="16"/>
                <w:szCs w:val="16"/>
              </w:rPr>
              <w:t>125</w:t>
            </w:r>
          </w:p>
        </w:tc>
        <w:tc>
          <w:tcPr>
            <w:tcW w:w="1007" w:type="dxa"/>
          </w:tcPr>
          <w:p w14:paraId="74F79AFC" w14:textId="49AA3F1E" w:rsidR="00733C45" w:rsidRPr="006D67E9" w:rsidRDefault="006D67E9" w:rsidP="00733C4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125</w:t>
            </w:r>
          </w:p>
        </w:tc>
      </w:tr>
      <w:tr w:rsidR="006D67E9" w:rsidRPr="006D67E9" w14:paraId="03962067" w14:textId="77777777" w:rsidTr="002E319C">
        <w:trPr>
          <w:trHeight w:val="209"/>
        </w:trPr>
        <w:tc>
          <w:tcPr>
            <w:tcW w:w="2918" w:type="dxa"/>
          </w:tcPr>
          <w:p w14:paraId="11EF4D18" w14:textId="77777777" w:rsidR="00733C45" w:rsidRPr="006D67E9" w:rsidRDefault="00733C45" w:rsidP="00733C45">
            <w:pPr>
              <w:keepLines/>
              <w:widowControl w:val="0"/>
              <w:autoSpaceDE w:val="0"/>
              <w:autoSpaceDN w:val="0"/>
              <w:adjustRightInd w:val="0"/>
              <w:rPr>
                <w:rFonts w:asciiTheme="minorHAnsi" w:eastAsia="Calibri" w:hAnsiTheme="minorHAnsi" w:cstheme="minorHAnsi"/>
                <w:sz w:val="16"/>
                <w:szCs w:val="16"/>
              </w:rPr>
            </w:pPr>
          </w:p>
        </w:tc>
        <w:tc>
          <w:tcPr>
            <w:tcW w:w="1051" w:type="dxa"/>
            <w:tcBorders>
              <w:bottom w:val="single" w:sz="4" w:space="0" w:color="auto"/>
            </w:tcBorders>
          </w:tcPr>
          <w:p w14:paraId="246D407A"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p>
        </w:tc>
        <w:tc>
          <w:tcPr>
            <w:tcW w:w="1129" w:type="dxa"/>
          </w:tcPr>
          <w:p w14:paraId="0E4F48FD"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p>
        </w:tc>
        <w:tc>
          <w:tcPr>
            <w:tcW w:w="1130" w:type="dxa"/>
          </w:tcPr>
          <w:p w14:paraId="12AFBC06"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p>
        </w:tc>
        <w:tc>
          <w:tcPr>
            <w:tcW w:w="1100" w:type="dxa"/>
            <w:tcBorders>
              <w:bottom w:val="single" w:sz="4" w:space="0" w:color="auto"/>
            </w:tcBorders>
          </w:tcPr>
          <w:p w14:paraId="7ACCE8CD"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p>
        </w:tc>
        <w:tc>
          <w:tcPr>
            <w:tcW w:w="1131" w:type="dxa"/>
          </w:tcPr>
          <w:p w14:paraId="220BEA46"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p>
        </w:tc>
        <w:tc>
          <w:tcPr>
            <w:tcW w:w="1007" w:type="dxa"/>
          </w:tcPr>
          <w:p w14:paraId="3E274530"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sz w:val="16"/>
                <w:szCs w:val="16"/>
              </w:rPr>
            </w:pPr>
          </w:p>
        </w:tc>
      </w:tr>
      <w:tr w:rsidR="006D67E9" w:rsidRPr="006D67E9" w14:paraId="74D85A79" w14:textId="77777777" w:rsidTr="002E319C">
        <w:trPr>
          <w:trHeight w:val="419"/>
        </w:trPr>
        <w:tc>
          <w:tcPr>
            <w:tcW w:w="2918" w:type="dxa"/>
          </w:tcPr>
          <w:p w14:paraId="3165BA5A" w14:textId="77777777" w:rsidR="00733C45" w:rsidRPr="006D67E9" w:rsidRDefault="00733C45" w:rsidP="00733C45">
            <w:pPr>
              <w:keepLines/>
              <w:widowControl w:val="0"/>
              <w:autoSpaceDE w:val="0"/>
              <w:autoSpaceDN w:val="0"/>
              <w:adjustRightInd w:val="0"/>
              <w:rPr>
                <w:rFonts w:asciiTheme="minorHAnsi" w:eastAsia="Calibri" w:hAnsiTheme="minorHAnsi" w:cstheme="minorHAnsi"/>
                <w:sz w:val="16"/>
                <w:szCs w:val="16"/>
              </w:rPr>
            </w:pPr>
          </w:p>
          <w:p w14:paraId="26AAEB9C" w14:textId="7593E5E9" w:rsidR="00733C45" w:rsidRPr="006D67E9" w:rsidRDefault="00733C45" w:rsidP="00733C45">
            <w:pPr>
              <w:keepLines/>
              <w:widowControl w:val="0"/>
              <w:autoSpaceDE w:val="0"/>
              <w:autoSpaceDN w:val="0"/>
              <w:adjustRightInd w:val="0"/>
              <w:rPr>
                <w:rFonts w:asciiTheme="minorHAnsi" w:eastAsia="Calibri" w:hAnsiTheme="minorHAnsi" w:cstheme="minorHAnsi"/>
                <w:b/>
                <w:sz w:val="16"/>
                <w:szCs w:val="16"/>
              </w:rPr>
            </w:pPr>
            <w:r w:rsidRPr="006D67E9">
              <w:rPr>
                <w:rFonts w:asciiTheme="minorHAnsi" w:eastAsia="Calibri" w:hAnsiTheme="minorHAnsi" w:cstheme="minorHAnsi"/>
                <w:b/>
                <w:sz w:val="16"/>
                <w:szCs w:val="16"/>
              </w:rPr>
              <w:t>Balance at 31 May 202</w:t>
            </w:r>
            <w:r w:rsidR="006E687B" w:rsidRPr="006D67E9">
              <w:rPr>
                <w:rFonts w:asciiTheme="minorHAnsi" w:eastAsia="Calibri" w:hAnsiTheme="minorHAnsi" w:cstheme="minorHAnsi"/>
                <w:b/>
                <w:sz w:val="16"/>
                <w:szCs w:val="16"/>
              </w:rPr>
              <w:t>3</w:t>
            </w:r>
          </w:p>
        </w:tc>
        <w:tc>
          <w:tcPr>
            <w:tcW w:w="1051" w:type="dxa"/>
            <w:tcBorders>
              <w:top w:val="single" w:sz="4" w:space="0" w:color="auto"/>
              <w:bottom w:val="double" w:sz="4" w:space="0" w:color="auto"/>
            </w:tcBorders>
          </w:tcPr>
          <w:p w14:paraId="061D7C25"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b/>
                <w:sz w:val="16"/>
                <w:szCs w:val="16"/>
              </w:rPr>
            </w:pPr>
          </w:p>
          <w:p w14:paraId="34303AF5" w14:textId="7A58CBF3" w:rsidR="00733C45" w:rsidRPr="006D67E9" w:rsidRDefault="00733C45" w:rsidP="00733C4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9,25</w:t>
            </w:r>
            <w:r w:rsidR="00B077A0" w:rsidRPr="006D67E9">
              <w:rPr>
                <w:rFonts w:asciiTheme="minorHAnsi" w:eastAsia="Calibri" w:hAnsiTheme="minorHAnsi" w:cstheme="minorHAnsi"/>
                <w:b/>
                <w:sz w:val="16"/>
                <w:szCs w:val="16"/>
              </w:rPr>
              <w:t>2</w:t>
            </w:r>
          </w:p>
          <w:p w14:paraId="3952A697"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b/>
                <w:sz w:val="16"/>
                <w:szCs w:val="16"/>
              </w:rPr>
            </w:pPr>
          </w:p>
        </w:tc>
        <w:tc>
          <w:tcPr>
            <w:tcW w:w="1129" w:type="dxa"/>
            <w:tcBorders>
              <w:top w:val="single" w:sz="4" w:space="0" w:color="auto"/>
              <w:bottom w:val="double" w:sz="4" w:space="0" w:color="auto"/>
            </w:tcBorders>
          </w:tcPr>
          <w:p w14:paraId="32CDC3AD"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b/>
                <w:sz w:val="16"/>
                <w:szCs w:val="16"/>
              </w:rPr>
            </w:pPr>
          </w:p>
          <w:p w14:paraId="1AD88F01" w14:textId="5277E566" w:rsidR="00733C45" w:rsidRPr="006D67E9" w:rsidRDefault="00733C45" w:rsidP="00733C4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2</w:t>
            </w:r>
            <w:r w:rsidR="006D67E9" w:rsidRPr="006D67E9">
              <w:rPr>
                <w:rFonts w:asciiTheme="minorHAnsi" w:eastAsia="Calibri" w:hAnsiTheme="minorHAnsi" w:cstheme="minorHAnsi"/>
                <w:b/>
                <w:sz w:val="16"/>
                <w:szCs w:val="16"/>
              </w:rPr>
              <w:t>7,419</w:t>
            </w:r>
          </w:p>
        </w:tc>
        <w:tc>
          <w:tcPr>
            <w:tcW w:w="1130" w:type="dxa"/>
            <w:tcBorders>
              <w:top w:val="single" w:sz="4" w:space="0" w:color="auto"/>
              <w:bottom w:val="double" w:sz="4" w:space="0" w:color="auto"/>
            </w:tcBorders>
          </w:tcPr>
          <w:p w14:paraId="00F2D3F6"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b/>
                <w:sz w:val="16"/>
                <w:szCs w:val="16"/>
              </w:rPr>
            </w:pPr>
          </w:p>
          <w:p w14:paraId="7EBA397D" w14:textId="40372EE8" w:rsidR="00733C45" w:rsidRPr="006D67E9" w:rsidRDefault="006D67E9" w:rsidP="00733C4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2</w:t>
            </w:r>
            <w:r w:rsidR="00733C45" w:rsidRPr="006D67E9">
              <w:rPr>
                <w:rFonts w:asciiTheme="minorHAnsi" w:eastAsia="Calibri" w:hAnsiTheme="minorHAnsi" w:cstheme="minorHAnsi"/>
                <w:b/>
                <w:sz w:val="16"/>
                <w:szCs w:val="16"/>
              </w:rPr>
              <w:t>5,543</w:t>
            </w:r>
          </w:p>
        </w:tc>
        <w:tc>
          <w:tcPr>
            <w:tcW w:w="1100" w:type="dxa"/>
            <w:tcBorders>
              <w:top w:val="single" w:sz="4" w:space="0" w:color="auto"/>
              <w:bottom w:val="double" w:sz="4" w:space="0" w:color="auto"/>
            </w:tcBorders>
          </w:tcPr>
          <w:p w14:paraId="493C684C"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b/>
                <w:sz w:val="16"/>
                <w:szCs w:val="16"/>
              </w:rPr>
            </w:pPr>
          </w:p>
          <w:p w14:paraId="2D7A029A" w14:textId="15BF6231" w:rsidR="00733C45" w:rsidRPr="006D67E9" w:rsidRDefault="00733C45" w:rsidP="00733C4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w:t>
            </w:r>
            <w:r w:rsidR="006D67E9" w:rsidRPr="006D67E9">
              <w:rPr>
                <w:rFonts w:asciiTheme="minorHAnsi" w:eastAsia="Calibri" w:hAnsiTheme="minorHAnsi" w:cstheme="minorHAnsi"/>
                <w:b/>
                <w:sz w:val="16"/>
                <w:szCs w:val="16"/>
              </w:rPr>
              <w:t>770</w:t>
            </w:r>
            <w:r w:rsidRPr="006D67E9">
              <w:rPr>
                <w:rFonts w:asciiTheme="minorHAnsi" w:eastAsia="Calibri" w:hAnsiTheme="minorHAnsi" w:cstheme="minorHAnsi"/>
                <w:b/>
                <w:sz w:val="16"/>
                <w:szCs w:val="16"/>
              </w:rPr>
              <w:t>)</w:t>
            </w:r>
          </w:p>
          <w:p w14:paraId="3CC2A35D"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b/>
                <w:sz w:val="16"/>
                <w:szCs w:val="16"/>
              </w:rPr>
            </w:pPr>
          </w:p>
        </w:tc>
        <w:tc>
          <w:tcPr>
            <w:tcW w:w="1131" w:type="dxa"/>
            <w:tcBorders>
              <w:top w:val="single" w:sz="4" w:space="0" w:color="auto"/>
              <w:bottom w:val="double" w:sz="4" w:space="0" w:color="auto"/>
            </w:tcBorders>
          </w:tcPr>
          <w:p w14:paraId="12020353"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b/>
                <w:sz w:val="16"/>
                <w:szCs w:val="16"/>
              </w:rPr>
            </w:pPr>
          </w:p>
          <w:p w14:paraId="72464723" w14:textId="2A862849" w:rsidR="00733C45" w:rsidRPr="006D67E9" w:rsidRDefault="006D67E9" w:rsidP="00733C4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231</w:t>
            </w:r>
          </w:p>
        </w:tc>
        <w:tc>
          <w:tcPr>
            <w:tcW w:w="1007" w:type="dxa"/>
            <w:tcBorders>
              <w:top w:val="single" w:sz="4" w:space="0" w:color="auto"/>
              <w:bottom w:val="double" w:sz="4" w:space="0" w:color="auto"/>
            </w:tcBorders>
          </w:tcPr>
          <w:p w14:paraId="0D240E91" w14:textId="77777777" w:rsidR="00733C45" w:rsidRPr="006D67E9" w:rsidRDefault="00733C45" w:rsidP="00733C45">
            <w:pPr>
              <w:keepLines/>
              <w:widowControl w:val="0"/>
              <w:autoSpaceDE w:val="0"/>
              <w:autoSpaceDN w:val="0"/>
              <w:adjustRightInd w:val="0"/>
              <w:jc w:val="right"/>
              <w:rPr>
                <w:rFonts w:asciiTheme="minorHAnsi" w:eastAsia="Calibri" w:hAnsiTheme="minorHAnsi" w:cstheme="minorHAnsi"/>
                <w:b/>
                <w:sz w:val="16"/>
                <w:szCs w:val="16"/>
              </w:rPr>
            </w:pPr>
          </w:p>
          <w:p w14:paraId="3B4F861A" w14:textId="5375A677" w:rsidR="00733C45" w:rsidRPr="006D67E9" w:rsidRDefault="006D67E9" w:rsidP="00733C45">
            <w:pPr>
              <w:keepLines/>
              <w:widowControl w:val="0"/>
              <w:autoSpaceDE w:val="0"/>
              <w:autoSpaceDN w:val="0"/>
              <w:adjustRightInd w:val="0"/>
              <w:jc w:val="right"/>
              <w:rPr>
                <w:rFonts w:asciiTheme="minorHAnsi" w:eastAsia="Calibri" w:hAnsiTheme="minorHAnsi" w:cstheme="minorHAnsi"/>
                <w:b/>
                <w:sz w:val="16"/>
                <w:szCs w:val="16"/>
              </w:rPr>
            </w:pPr>
            <w:r w:rsidRPr="006D67E9">
              <w:rPr>
                <w:rFonts w:asciiTheme="minorHAnsi" w:eastAsia="Calibri" w:hAnsiTheme="minorHAnsi" w:cstheme="minorHAnsi"/>
                <w:b/>
                <w:sz w:val="16"/>
                <w:szCs w:val="16"/>
              </w:rPr>
              <w:t>61,675</w:t>
            </w:r>
          </w:p>
        </w:tc>
      </w:tr>
    </w:tbl>
    <w:p w14:paraId="2B13DBA7" w14:textId="77777777" w:rsidR="00887F65" w:rsidRPr="00D47013" w:rsidRDefault="00887F65" w:rsidP="00887F65">
      <w:pPr>
        <w:rPr>
          <w:rFonts w:eastAsia="Times New Roman" w:cstheme="minorHAnsi"/>
          <w:b/>
          <w:bCs/>
          <w:color w:val="000000"/>
          <w:highlight w:val="yellow"/>
          <w:lang w:eastAsia="en-GB"/>
        </w:rPr>
      </w:pPr>
    </w:p>
    <w:p w14:paraId="2D312692" w14:textId="54A38DC1" w:rsidR="00887F65" w:rsidRPr="00D47013" w:rsidRDefault="00887F65" w:rsidP="00357E90">
      <w:pPr>
        <w:rPr>
          <w:rFonts w:eastAsia="Times New Roman" w:cstheme="minorHAnsi"/>
          <w:b/>
          <w:bCs/>
          <w:color w:val="000000"/>
          <w:highlight w:val="yellow"/>
          <w:lang w:eastAsia="en-GB"/>
        </w:rPr>
      </w:pPr>
      <w:r w:rsidRPr="00D47013">
        <w:rPr>
          <w:rFonts w:eastAsia="Times New Roman" w:cstheme="minorHAnsi"/>
          <w:b/>
          <w:bCs/>
          <w:color w:val="000000"/>
          <w:highlight w:val="yellow"/>
          <w:lang w:eastAsia="en-GB"/>
        </w:rPr>
        <w:br w:type="page"/>
      </w:r>
    </w:p>
    <w:p w14:paraId="51A17459" w14:textId="77777777" w:rsidR="00887F65" w:rsidRPr="007D7456" w:rsidRDefault="00887F65" w:rsidP="00357E90">
      <w:pPr>
        <w:widowControl w:val="0"/>
        <w:tabs>
          <w:tab w:val="left" w:pos="0"/>
        </w:tabs>
        <w:autoSpaceDE w:val="0"/>
        <w:autoSpaceDN w:val="0"/>
        <w:adjustRightInd w:val="0"/>
        <w:spacing w:after="0" w:line="240" w:lineRule="auto"/>
        <w:ind w:right="941"/>
        <w:rPr>
          <w:rFonts w:eastAsia="Times New Roman" w:cstheme="minorHAnsi"/>
          <w:b/>
          <w:bCs/>
          <w:color w:val="000000"/>
          <w:lang w:eastAsia="en-GB"/>
        </w:rPr>
      </w:pPr>
      <w:r w:rsidRPr="007D7456">
        <w:rPr>
          <w:rFonts w:eastAsia="Times New Roman" w:cstheme="minorHAnsi"/>
          <w:b/>
          <w:bCs/>
          <w:color w:val="000000"/>
          <w:lang w:eastAsia="en-GB"/>
        </w:rPr>
        <w:lastRenderedPageBreak/>
        <w:t>CONSOLIDATED STATEMENT OF CASH FLOWS</w:t>
      </w:r>
    </w:p>
    <w:p w14:paraId="713BF15A" w14:textId="0079FB0B" w:rsidR="00FB0800" w:rsidRDefault="00887F65" w:rsidP="0088277F">
      <w:pPr>
        <w:widowControl w:val="0"/>
        <w:tabs>
          <w:tab w:val="left" w:pos="0"/>
        </w:tabs>
        <w:autoSpaceDE w:val="0"/>
        <w:autoSpaceDN w:val="0"/>
        <w:adjustRightInd w:val="0"/>
        <w:spacing w:after="0" w:line="240" w:lineRule="auto"/>
        <w:ind w:right="941"/>
        <w:rPr>
          <w:rFonts w:eastAsia="Times New Roman" w:cstheme="minorHAnsi"/>
          <w:b/>
          <w:bCs/>
          <w:color w:val="000000"/>
          <w:lang w:eastAsia="en-GB"/>
        </w:rPr>
      </w:pPr>
      <w:r w:rsidRPr="007D7456">
        <w:rPr>
          <w:rFonts w:eastAsia="Times New Roman" w:cstheme="minorHAnsi"/>
          <w:b/>
          <w:bCs/>
          <w:color w:val="000000"/>
          <w:lang w:eastAsia="en-GB"/>
        </w:rPr>
        <w:t>FOR THE YEAR ENDED 31 MAY 20</w:t>
      </w:r>
      <w:r w:rsidR="00264E30" w:rsidRPr="007D7456">
        <w:rPr>
          <w:rFonts w:eastAsia="Times New Roman" w:cstheme="minorHAnsi"/>
          <w:b/>
          <w:bCs/>
          <w:color w:val="000000"/>
          <w:lang w:eastAsia="en-GB"/>
        </w:rPr>
        <w:t>2</w:t>
      </w:r>
      <w:r w:rsidR="00C0367C">
        <w:rPr>
          <w:rFonts w:eastAsia="Times New Roman" w:cstheme="minorHAnsi"/>
          <w:b/>
          <w:bCs/>
          <w:color w:val="000000"/>
          <w:lang w:eastAsia="en-GB"/>
        </w:rPr>
        <w:t>3</w:t>
      </w:r>
    </w:p>
    <w:tbl>
      <w:tblPr>
        <w:tblStyle w:val="TableGrid3"/>
        <w:tblpPr w:leftFromText="180" w:rightFromText="180" w:vertAnchor="text" w:horzAnchor="margin" w:tblpXSpec="center" w:tblpY="114"/>
        <w:tblW w:w="10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093"/>
        <w:gridCol w:w="1141"/>
        <w:gridCol w:w="1035"/>
        <w:gridCol w:w="1093"/>
        <w:gridCol w:w="1141"/>
        <w:gridCol w:w="1035"/>
      </w:tblGrid>
      <w:tr w:rsidR="00EC6AB5" w:rsidRPr="007F4514" w14:paraId="59E2C87F" w14:textId="77777777" w:rsidTr="00EC6AB5">
        <w:tc>
          <w:tcPr>
            <w:tcW w:w="4045" w:type="dxa"/>
          </w:tcPr>
          <w:p w14:paraId="3F86D67A" w14:textId="77777777" w:rsidR="00EC6AB5" w:rsidRPr="00B52174" w:rsidRDefault="00EC6AB5" w:rsidP="00EC6AB5">
            <w:pPr>
              <w:rPr>
                <w:color w:val="000000" w:themeColor="text1"/>
                <w:sz w:val="16"/>
                <w:szCs w:val="16"/>
              </w:rPr>
            </w:pPr>
          </w:p>
        </w:tc>
        <w:tc>
          <w:tcPr>
            <w:tcW w:w="1093" w:type="dxa"/>
          </w:tcPr>
          <w:p w14:paraId="2A3C22BA" w14:textId="77777777" w:rsidR="00EC6AB5" w:rsidRPr="00B52174" w:rsidRDefault="00EC6AB5" w:rsidP="00EC6AB5">
            <w:pPr>
              <w:jc w:val="right"/>
              <w:rPr>
                <w:color w:val="000000" w:themeColor="text1"/>
                <w:sz w:val="16"/>
                <w:szCs w:val="16"/>
              </w:rPr>
            </w:pPr>
            <w:r w:rsidRPr="00B52174">
              <w:rPr>
                <w:color w:val="000000" w:themeColor="text1"/>
                <w:sz w:val="16"/>
                <w:szCs w:val="16"/>
              </w:rPr>
              <w:t>Continuing Operations</w:t>
            </w:r>
          </w:p>
          <w:p w14:paraId="600CF057" w14:textId="77777777" w:rsidR="00EC6AB5" w:rsidRPr="00B52174" w:rsidRDefault="00EC6AB5" w:rsidP="00EC6AB5">
            <w:pPr>
              <w:jc w:val="right"/>
              <w:rPr>
                <w:color w:val="000000" w:themeColor="text1"/>
                <w:sz w:val="16"/>
                <w:szCs w:val="16"/>
              </w:rPr>
            </w:pPr>
            <w:r w:rsidRPr="00B52174">
              <w:rPr>
                <w:color w:val="000000" w:themeColor="text1"/>
                <w:sz w:val="16"/>
                <w:szCs w:val="16"/>
              </w:rPr>
              <w:t>2023</w:t>
            </w:r>
          </w:p>
          <w:p w14:paraId="6B6D3157" w14:textId="77777777" w:rsidR="00EC6AB5" w:rsidRPr="00B52174" w:rsidRDefault="00EC6AB5" w:rsidP="00EC6AB5">
            <w:pPr>
              <w:jc w:val="right"/>
              <w:rPr>
                <w:color w:val="000000" w:themeColor="text1"/>
                <w:sz w:val="16"/>
                <w:szCs w:val="16"/>
              </w:rPr>
            </w:pPr>
            <w:r w:rsidRPr="00B52174">
              <w:rPr>
                <w:color w:val="000000" w:themeColor="text1"/>
                <w:sz w:val="16"/>
                <w:szCs w:val="16"/>
              </w:rPr>
              <w:t>£’000</w:t>
            </w:r>
          </w:p>
        </w:tc>
        <w:tc>
          <w:tcPr>
            <w:tcW w:w="1141" w:type="dxa"/>
          </w:tcPr>
          <w:p w14:paraId="570ABA7C" w14:textId="77777777" w:rsidR="00EC6AB5" w:rsidRPr="00B52174" w:rsidRDefault="00EC6AB5" w:rsidP="00EC6AB5">
            <w:pPr>
              <w:jc w:val="right"/>
              <w:rPr>
                <w:color w:val="000000" w:themeColor="text1"/>
                <w:sz w:val="16"/>
                <w:szCs w:val="16"/>
              </w:rPr>
            </w:pPr>
            <w:r w:rsidRPr="00B52174">
              <w:rPr>
                <w:color w:val="000000" w:themeColor="text1"/>
                <w:sz w:val="16"/>
                <w:szCs w:val="16"/>
              </w:rPr>
              <w:t>Discontinued Operations</w:t>
            </w:r>
          </w:p>
          <w:p w14:paraId="51A105D5" w14:textId="77777777" w:rsidR="00EC6AB5" w:rsidRPr="00B52174" w:rsidRDefault="00EC6AB5" w:rsidP="00EC6AB5">
            <w:pPr>
              <w:jc w:val="right"/>
              <w:rPr>
                <w:color w:val="000000" w:themeColor="text1"/>
                <w:sz w:val="16"/>
                <w:szCs w:val="16"/>
              </w:rPr>
            </w:pPr>
            <w:r w:rsidRPr="00B52174">
              <w:rPr>
                <w:color w:val="000000" w:themeColor="text1"/>
                <w:sz w:val="16"/>
                <w:szCs w:val="16"/>
              </w:rPr>
              <w:t>2023</w:t>
            </w:r>
          </w:p>
          <w:p w14:paraId="29698D9A" w14:textId="77777777" w:rsidR="00EC6AB5" w:rsidRPr="00B52174" w:rsidRDefault="00EC6AB5" w:rsidP="00EC6AB5">
            <w:pPr>
              <w:jc w:val="right"/>
              <w:rPr>
                <w:color w:val="000000" w:themeColor="text1"/>
                <w:sz w:val="16"/>
                <w:szCs w:val="16"/>
              </w:rPr>
            </w:pPr>
            <w:r w:rsidRPr="00B52174">
              <w:rPr>
                <w:color w:val="000000" w:themeColor="text1"/>
                <w:sz w:val="16"/>
                <w:szCs w:val="16"/>
              </w:rPr>
              <w:t>£’000</w:t>
            </w:r>
          </w:p>
        </w:tc>
        <w:tc>
          <w:tcPr>
            <w:tcW w:w="1035" w:type="dxa"/>
            <w:tcBorders>
              <w:right w:val="single" w:sz="4" w:space="0" w:color="auto"/>
            </w:tcBorders>
          </w:tcPr>
          <w:p w14:paraId="516A22E3" w14:textId="77777777" w:rsidR="00EC6AB5" w:rsidRPr="00B52174" w:rsidRDefault="00EC6AB5" w:rsidP="00EC6AB5">
            <w:pPr>
              <w:jc w:val="right"/>
              <w:rPr>
                <w:b/>
                <w:bCs/>
                <w:color w:val="000000" w:themeColor="text1"/>
                <w:sz w:val="16"/>
                <w:szCs w:val="16"/>
              </w:rPr>
            </w:pPr>
          </w:p>
          <w:p w14:paraId="6FC9456A" w14:textId="77777777" w:rsidR="00EC6AB5" w:rsidRPr="00B52174" w:rsidRDefault="00EC6AB5" w:rsidP="00EC6AB5">
            <w:pPr>
              <w:jc w:val="right"/>
              <w:rPr>
                <w:b/>
                <w:bCs/>
                <w:color w:val="000000" w:themeColor="text1"/>
                <w:sz w:val="16"/>
                <w:szCs w:val="16"/>
              </w:rPr>
            </w:pPr>
            <w:r w:rsidRPr="00B52174">
              <w:rPr>
                <w:b/>
                <w:bCs/>
                <w:color w:val="000000" w:themeColor="text1"/>
                <w:sz w:val="16"/>
                <w:szCs w:val="16"/>
              </w:rPr>
              <w:t>Total</w:t>
            </w:r>
          </w:p>
          <w:p w14:paraId="1778E361" w14:textId="77777777" w:rsidR="00EC6AB5" w:rsidRPr="00B52174" w:rsidRDefault="00EC6AB5" w:rsidP="00EC6AB5">
            <w:pPr>
              <w:jc w:val="right"/>
              <w:rPr>
                <w:b/>
                <w:bCs/>
                <w:color w:val="000000" w:themeColor="text1"/>
                <w:sz w:val="16"/>
                <w:szCs w:val="16"/>
              </w:rPr>
            </w:pPr>
            <w:r w:rsidRPr="00B52174">
              <w:rPr>
                <w:b/>
                <w:bCs/>
                <w:color w:val="000000" w:themeColor="text1"/>
                <w:sz w:val="16"/>
                <w:szCs w:val="16"/>
              </w:rPr>
              <w:t>2023</w:t>
            </w:r>
          </w:p>
          <w:p w14:paraId="13B7BB0F" w14:textId="77777777" w:rsidR="00EC6AB5" w:rsidRPr="00B52174" w:rsidRDefault="00EC6AB5" w:rsidP="00EC6AB5">
            <w:pPr>
              <w:jc w:val="right"/>
              <w:rPr>
                <w:b/>
                <w:bCs/>
                <w:color w:val="000000" w:themeColor="text1"/>
                <w:sz w:val="16"/>
                <w:szCs w:val="16"/>
              </w:rPr>
            </w:pPr>
            <w:r w:rsidRPr="00B52174">
              <w:rPr>
                <w:b/>
                <w:bCs/>
                <w:color w:val="000000" w:themeColor="text1"/>
                <w:sz w:val="16"/>
                <w:szCs w:val="16"/>
              </w:rPr>
              <w:t>£’000</w:t>
            </w:r>
          </w:p>
        </w:tc>
        <w:tc>
          <w:tcPr>
            <w:tcW w:w="1093" w:type="dxa"/>
            <w:tcBorders>
              <w:left w:val="single" w:sz="4" w:space="0" w:color="auto"/>
            </w:tcBorders>
          </w:tcPr>
          <w:p w14:paraId="0A8FF87B" w14:textId="77777777" w:rsidR="00EC6AB5" w:rsidRPr="00E54B9E" w:rsidRDefault="00EC6AB5" w:rsidP="00EC6AB5">
            <w:pPr>
              <w:jc w:val="right"/>
              <w:rPr>
                <w:sz w:val="16"/>
                <w:szCs w:val="16"/>
              </w:rPr>
            </w:pPr>
            <w:r w:rsidRPr="00E54B9E">
              <w:rPr>
                <w:sz w:val="16"/>
                <w:szCs w:val="16"/>
              </w:rPr>
              <w:t>Continuing Operations</w:t>
            </w:r>
          </w:p>
          <w:p w14:paraId="503C4BD7" w14:textId="77777777" w:rsidR="00EC6AB5" w:rsidRPr="00E54B9E" w:rsidRDefault="00EC6AB5" w:rsidP="00EC6AB5">
            <w:pPr>
              <w:jc w:val="right"/>
              <w:rPr>
                <w:sz w:val="16"/>
                <w:szCs w:val="16"/>
              </w:rPr>
            </w:pPr>
            <w:r w:rsidRPr="00E54B9E">
              <w:rPr>
                <w:sz w:val="16"/>
                <w:szCs w:val="16"/>
              </w:rPr>
              <w:t>202</w:t>
            </w:r>
            <w:r>
              <w:rPr>
                <w:sz w:val="16"/>
                <w:szCs w:val="16"/>
              </w:rPr>
              <w:t>2</w:t>
            </w:r>
          </w:p>
          <w:p w14:paraId="34366A0C" w14:textId="77777777" w:rsidR="00EC6AB5" w:rsidRPr="00E54B9E" w:rsidRDefault="00EC6AB5" w:rsidP="00EC6AB5">
            <w:pPr>
              <w:jc w:val="right"/>
              <w:rPr>
                <w:sz w:val="16"/>
                <w:szCs w:val="16"/>
              </w:rPr>
            </w:pPr>
            <w:r w:rsidRPr="00E54B9E">
              <w:rPr>
                <w:sz w:val="16"/>
                <w:szCs w:val="16"/>
              </w:rPr>
              <w:t>£’000</w:t>
            </w:r>
          </w:p>
        </w:tc>
        <w:tc>
          <w:tcPr>
            <w:tcW w:w="1141" w:type="dxa"/>
          </w:tcPr>
          <w:p w14:paraId="268F1A43" w14:textId="77777777" w:rsidR="00EC6AB5" w:rsidRPr="00E54B9E" w:rsidRDefault="00EC6AB5" w:rsidP="00EC6AB5">
            <w:pPr>
              <w:jc w:val="right"/>
              <w:rPr>
                <w:sz w:val="16"/>
                <w:szCs w:val="16"/>
              </w:rPr>
            </w:pPr>
            <w:r w:rsidRPr="00E54B9E">
              <w:rPr>
                <w:sz w:val="16"/>
                <w:szCs w:val="16"/>
              </w:rPr>
              <w:t>Discontinued Operations 202</w:t>
            </w:r>
            <w:r>
              <w:rPr>
                <w:sz w:val="16"/>
                <w:szCs w:val="16"/>
              </w:rPr>
              <w:t>2</w:t>
            </w:r>
          </w:p>
          <w:p w14:paraId="5AEF5641" w14:textId="77777777" w:rsidR="00EC6AB5" w:rsidRPr="00E54B9E" w:rsidRDefault="00EC6AB5" w:rsidP="00EC6AB5">
            <w:pPr>
              <w:jc w:val="right"/>
              <w:rPr>
                <w:sz w:val="16"/>
                <w:szCs w:val="16"/>
              </w:rPr>
            </w:pPr>
            <w:r w:rsidRPr="00E54B9E">
              <w:rPr>
                <w:sz w:val="16"/>
                <w:szCs w:val="16"/>
              </w:rPr>
              <w:t>£’000</w:t>
            </w:r>
          </w:p>
        </w:tc>
        <w:tc>
          <w:tcPr>
            <w:tcW w:w="1035" w:type="dxa"/>
          </w:tcPr>
          <w:p w14:paraId="2ACCD441" w14:textId="77777777" w:rsidR="00EC6AB5" w:rsidRPr="00E54B9E" w:rsidRDefault="00EC6AB5" w:rsidP="00EC6AB5">
            <w:pPr>
              <w:jc w:val="right"/>
              <w:rPr>
                <w:b/>
                <w:bCs/>
                <w:sz w:val="16"/>
                <w:szCs w:val="16"/>
              </w:rPr>
            </w:pPr>
          </w:p>
          <w:p w14:paraId="0EF796E3" w14:textId="77777777" w:rsidR="00EC6AB5" w:rsidRPr="00E54B9E" w:rsidRDefault="00EC6AB5" w:rsidP="00EC6AB5">
            <w:pPr>
              <w:jc w:val="right"/>
              <w:rPr>
                <w:b/>
                <w:bCs/>
                <w:sz w:val="16"/>
                <w:szCs w:val="16"/>
              </w:rPr>
            </w:pPr>
            <w:r w:rsidRPr="00E54B9E">
              <w:rPr>
                <w:b/>
                <w:bCs/>
                <w:sz w:val="16"/>
                <w:szCs w:val="16"/>
              </w:rPr>
              <w:t>Total</w:t>
            </w:r>
          </w:p>
          <w:p w14:paraId="4B642AB3" w14:textId="77777777" w:rsidR="00EC6AB5" w:rsidRPr="00E54B9E" w:rsidRDefault="00EC6AB5" w:rsidP="00EC6AB5">
            <w:pPr>
              <w:jc w:val="right"/>
              <w:rPr>
                <w:b/>
                <w:bCs/>
                <w:sz w:val="16"/>
                <w:szCs w:val="16"/>
              </w:rPr>
            </w:pPr>
            <w:r w:rsidRPr="00E54B9E">
              <w:rPr>
                <w:b/>
                <w:bCs/>
                <w:sz w:val="16"/>
                <w:szCs w:val="16"/>
              </w:rPr>
              <w:t>202</w:t>
            </w:r>
            <w:r>
              <w:rPr>
                <w:b/>
                <w:bCs/>
                <w:sz w:val="16"/>
                <w:szCs w:val="16"/>
              </w:rPr>
              <w:t>2</w:t>
            </w:r>
          </w:p>
          <w:p w14:paraId="5CC7039F" w14:textId="77777777" w:rsidR="00EC6AB5" w:rsidRPr="00E54B9E" w:rsidRDefault="00EC6AB5" w:rsidP="00EC6AB5">
            <w:pPr>
              <w:jc w:val="right"/>
              <w:rPr>
                <w:b/>
                <w:bCs/>
                <w:sz w:val="16"/>
                <w:szCs w:val="16"/>
              </w:rPr>
            </w:pPr>
            <w:r w:rsidRPr="00E54B9E">
              <w:rPr>
                <w:b/>
                <w:bCs/>
                <w:sz w:val="16"/>
                <w:szCs w:val="16"/>
              </w:rPr>
              <w:t>£’000</w:t>
            </w:r>
          </w:p>
        </w:tc>
      </w:tr>
      <w:tr w:rsidR="00EC6AB5" w:rsidRPr="007F4514" w14:paraId="6118C515" w14:textId="77777777" w:rsidTr="00EC6AB5">
        <w:trPr>
          <w:trHeight w:val="284"/>
        </w:trPr>
        <w:tc>
          <w:tcPr>
            <w:tcW w:w="4045" w:type="dxa"/>
          </w:tcPr>
          <w:p w14:paraId="6C3292E4" w14:textId="77777777" w:rsidR="00EC6AB5" w:rsidRPr="00315D7D" w:rsidRDefault="00EC6AB5" w:rsidP="00EC6AB5">
            <w:pPr>
              <w:rPr>
                <w:b/>
                <w:bCs/>
                <w:color w:val="000000" w:themeColor="text1"/>
                <w:sz w:val="18"/>
                <w:szCs w:val="18"/>
              </w:rPr>
            </w:pPr>
            <w:r w:rsidRPr="00315D7D">
              <w:rPr>
                <w:b/>
                <w:bCs/>
                <w:color w:val="000000" w:themeColor="text1"/>
                <w:sz w:val="18"/>
                <w:szCs w:val="18"/>
              </w:rPr>
              <w:t>Cash generated from operations</w:t>
            </w:r>
          </w:p>
        </w:tc>
        <w:tc>
          <w:tcPr>
            <w:tcW w:w="1093" w:type="dxa"/>
          </w:tcPr>
          <w:p w14:paraId="2FA1AD3A" w14:textId="77777777" w:rsidR="00EC6AB5" w:rsidRPr="00B52174" w:rsidRDefault="00EC6AB5" w:rsidP="00EC6AB5">
            <w:pPr>
              <w:jc w:val="right"/>
              <w:rPr>
                <w:color w:val="000000" w:themeColor="text1"/>
                <w:sz w:val="16"/>
                <w:szCs w:val="16"/>
              </w:rPr>
            </w:pPr>
          </w:p>
        </w:tc>
        <w:tc>
          <w:tcPr>
            <w:tcW w:w="1141" w:type="dxa"/>
          </w:tcPr>
          <w:p w14:paraId="687F658E" w14:textId="77777777" w:rsidR="00EC6AB5" w:rsidRPr="00B52174" w:rsidRDefault="00EC6AB5" w:rsidP="00EC6AB5">
            <w:pPr>
              <w:jc w:val="right"/>
              <w:rPr>
                <w:color w:val="000000" w:themeColor="text1"/>
                <w:sz w:val="16"/>
                <w:szCs w:val="16"/>
              </w:rPr>
            </w:pPr>
          </w:p>
        </w:tc>
        <w:tc>
          <w:tcPr>
            <w:tcW w:w="1035" w:type="dxa"/>
            <w:tcBorders>
              <w:right w:val="single" w:sz="4" w:space="0" w:color="auto"/>
            </w:tcBorders>
          </w:tcPr>
          <w:p w14:paraId="7A67F078" w14:textId="77777777" w:rsidR="00EC6AB5" w:rsidRPr="00B52174" w:rsidRDefault="00EC6AB5" w:rsidP="00EC6AB5">
            <w:pPr>
              <w:jc w:val="right"/>
              <w:rPr>
                <w:b/>
                <w:bCs/>
                <w:color w:val="000000" w:themeColor="text1"/>
                <w:sz w:val="16"/>
                <w:szCs w:val="16"/>
              </w:rPr>
            </w:pPr>
          </w:p>
        </w:tc>
        <w:tc>
          <w:tcPr>
            <w:tcW w:w="1093" w:type="dxa"/>
            <w:tcBorders>
              <w:left w:val="single" w:sz="4" w:space="0" w:color="auto"/>
            </w:tcBorders>
          </w:tcPr>
          <w:p w14:paraId="00811D6A" w14:textId="77777777" w:rsidR="00EC6AB5" w:rsidRPr="00E54B9E" w:rsidRDefault="00EC6AB5" w:rsidP="00EC6AB5">
            <w:pPr>
              <w:jc w:val="right"/>
              <w:rPr>
                <w:sz w:val="16"/>
                <w:szCs w:val="16"/>
              </w:rPr>
            </w:pPr>
          </w:p>
        </w:tc>
        <w:tc>
          <w:tcPr>
            <w:tcW w:w="1141" w:type="dxa"/>
          </w:tcPr>
          <w:p w14:paraId="74521BAF" w14:textId="77777777" w:rsidR="00EC6AB5" w:rsidRPr="00E54B9E" w:rsidRDefault="00EC6AB5" w:rsidP="00EC6AB5">
            <w:pPr>
              <w:jc w:val="right"/>
              <w:rPr>
                <w:sz w:val="16"/>
                <w:szCs w:val="16"/>
              </w:rPr>
            </w:pPr>
          </w:p>
        </w:tc>
        <w:tc>
          <w:tcPr>
            <w:tcW w:w="1035" w:type="dxa"/>
          </w:tcPr>
          <w:p w14:paraId="0CFD00EA" w14:textId="77777777" w:rsidR="00EC6AB5" w:rsidRPr="00E54B9E" w:rsidRDefault="00EC6AB5" w:rsidP="00EC6AB5">
            <w:pPr>
              <w:jc w:val="right"/>
              <w:rPr>
                <w:b/>
                <w:bCs/>
                <w:sz w:val="16"/>
                <w:szCs w:val="16"/>
              </w:rPr>
            </w:pPr>
          </w:p>
        </w:tc>
      </w:tr>
      <w:tr w:rsidR="00EC6AB5" w:rsidRPr="007F4514" w14:paraId="5EFF7099" w14:textId="77777777" w:rsidTr="00EC6AB5">
        <w:trPr>
          <w:trHeight w:val="284"/>
        </w:trPr>
        <w:tc>
          <w:tcPr>
            <w:tcW w:w="4045" w:type="dxa"/>
          </w:tcPr>
          <w:p w14:paraId="0E4D99B0" w14:textId="77777777" w:rsidR="00EC6AB5" w:rsidRPr="00B52174" w:rsidRDefault="00EC6AB5" w:rsidP="00EC6AB5">
            <w:pPr>
              <w:rPr>
                <w:color w:val="000000" w:themeColor="text1"/>
                <w:sz w:val="16"/>
                <w:szCs w:val="16"/>
              </w:rPr>
            </w:pPr>
            <w:r w:rsidRPr="00B52174">
              <w:rPr>
                <w:color w:val="000000" w:themeColor="text1"/>
                <w:sz w:val="16"/>
                <w:szCs w:val="16"/>
              </w:rPr>
              <w:t>Profit before tax</w:t>
            </w:r>
          </w:p>
        </w:tc>
        <w:tc>
          <w:tcPr>
            <w:tcW w:w="1093" w:type="dxa"/>
          </w:tcPr>
          <w:p w14:paraId="71C073A4" w14:textId="77777777" w:rsidR="00EC6AB5" w:rsidRPr="00DD765F" w:rsidRDefault="00EC6AB5" w:rsidP="00EC6AB5">
            <w:pPr>
              <w:jc w:val="right"/>
              <w:rPr>
                <w:sz w:val="16"/>
                <w:szCs w:val="16"/>
              </w:rPr>
            </w:pPr>
            <w:r w:rsidRPr="00DD765F">
              <w:rPr>
                <w:sz w:val="16"/>
                <w:szCs w:val="16"/>
              </w:rPr>
              <w:t>4,07</w:t>
            </w:r>
            <w:r>
              <w:rPr>
                <w:sz w:val="16"/>
                <w:szCs w:val="16"/>
              </w:rPr>
              <w:t>9</w:t>
            </w:r>
          </w:p>
        </w:tc>
        <w:tc>
          <w:tcPr>
            <w:tcW w:w="1141" w:type="dxa"/>
          </w:tcPr>
          <w:p w14:paraId="7F2156E1" w14:textId="77777777" w:rsidR="00EC6AB5" w:rsidRPr="00DD765F" w:rsidRDefault="00EC6AB5" w:rsidP="00EC6AB5">
            <w:pPr>
              <w:jc w:val="right"/>
              <w:rPr>
                <w:sz w:val="16"/>
                <w:szCs w:val="16"/>
              </w:rPr>
            </w:pPr>
            <w:r w:rsidRPr="00DD765F">
              <w:rPr>
                <w:sz w:val="16"/>
                <w:szCs w:val="16"/>
              </w:rPr>
              <w:t>8</w:t>
            </w:r>
            <w:r>
              <w:rPr>
                <w:sz w:val="16"/>
                <w:szCs w:val="16"/>
              </w:rPr>
              <w:t>8</w:t>
            </w:r>
          </w:p>
        </w:tc>
        <w:tc>
          <w:tcPr>
            <w:tcW w:w="1035" w:type="dxa"/>
            <w:tcBorders>
              <w:right w:val="single" w:sz="4" w:space="0" w:color="auto"/>
            </w:tcBorders>
          </w:tcPr>
          <w:p w14:paraId="3D0F0321" w14:textId="77777777" w:rsidR="00EC6AB5" w:rsidRPr="00B52174" w:rsidRDefault="00EC6AB5" w:rsidP="00EC6AB5">
            <w:pPr>
              <w:jc w:val="right"/>
              <w:rPr>
                <w:b/>
                <w:bCs/>
                <w:color w:val="000000" w:themeColor="text1"/>
                <w:sz w:val="16"/>
                <w:szCs w:val="16"/>
              </w:rPr>
            </w:pPr>
            <w:r w:rsidRPr="00B52174">
              <w:rPr>
                <w:b/>
                <w:bCs/>
                <w:color w:val="000000" w:themeColor="text1"/>
                <w:sz w:val="16"/>
                <w:szCs w:val="16"/>
              </w:rPr>
              <w:t>4,167</w:t>
            </w:r>
          </w:p>
        </w:tc>
        <w:tc>
          <w:tcPr>
            <w:tcW w:w="1093" w:type="dxa"/>
            <w:tcBorders>
              <w:left w:val="single" w:sz="4" w:space="0" w:color="auto"/>
            </w:tcBorders>
          </w:tcPr>
          <w:p w14:paraId="03F7D98A" w14:textId="77777777" w:rsidR="00EC6AB5" w:rsidRPr="0008425B" w:rsidRDefault="00EC6AB5" w:rsidP="00EC6AB5">
            <w:pPr>
              <w:jc w:val="right"/>
              <w:rPr>
                <w:sz w:val="16"/>
                <w:szCs w:val="16"/>
              </w:rPr>
            </w:pPr>
            <w:r w:rsidRPr="0008425B">
              <w:rPr>
                <w:sz w:val="16"/>
                <w:szCs w:val="16"/>
              </w:rPr>
              <w:t>1,401</w:t>
            </w:r>
          </w:p>
        </w:tc>
        <w:tc>
          <w:tcPr>
            <w:tcW w:w="1141" w:type="dxa"/>
          </w:tcPr>
          <w:p w14:paraId="566140B9" w14:textId="77777777" w:rsidR="00EC6AB5" w:rsidRPr="0008425B" w:rsidRDefault="00EC6AB5" w:rsidP="00EC6AB5">
            <w:pPr>
              <w:jc w:val="right"/>
              <w:rPr>
                <w:sz w:val="16"/>
                <w:szCs w:val="16"/>
              </w:rPr>
            </w:pPr>
            <w:r w:rsidRPr="0008425B">
              <w:rPr>
                <w:sz w:val="16"/>
                <w:szCs w:val="16"/>
              </w:rPr>
              <w:t>(346)</w:t>
            </w:r>
          </w:p>
        </w:tc>
        <w:tc>
          <w:tcPr>
            <w:tcW w:w="1035" w:type="dxa"/>
          </w:tcPr>
          <w:p w14:paraId="6BFCDEE2" w14:textId="77777777" w:rsidR="00EC6AB5" w:rsidRPr="0008425B" w:rsidRDefault="00EC6AB5" w:rsidP="00EC6AB5">
            <w:pPr>
              <w:jc w:val="right"/>
              <w:rPr>
                <w:sz w:val="16"/>
                <w:szCs w:val="16"/>
              </w:rPr>
            </w:pPr>
            <w:r w:rsidRPr="0008425B">
              <w:rPr>
                <w:sz w:val="16"/>
                <w:szCs w:val="16"/>
              </w:rPr>
              <w:t>1,055</w:t>
            </w:r>
          </w:p>
        </w:tc>
      </w:tr>
      <w:tr w:rsidR="00EC6AB5" w:rsidRPr="007F4514" w14:paraId="2B5D7403" w14:textId="77777777" w:rsidTr="00EC6AB5">
        <w:trPr>
          <w:trHeight w:val="284"/>
        </w:trPr>
        <w:tc>
          <w:tcPr>
            <w:tcW w:w="4045" w:type="dxa"/>
          </w:tcPr>
          <w:p w14:paraId="088F7806" w14:textId="77777777" w:rsidR="00EC6AB5" w:rsidRPr="00E372E7" w:rsidRDefault="00EC6AB5" w:rsidP="00EC6AB5">
            <w:pPr>
              <w:rPr>
                <w:color w:val="000000" w:themeColor="text1"/>
                <w:sz w:val="16"/>
                <w:szCs w:val="16"/>
              </w:rPr>
            </w:pPr>
            <w:r w:rsidRPr="00E372E7">
              <w:rPr>
                <w:color w:val="000000" w:themeColor="text1"/>
                <w:sz w:val="16"/>
                <w:szCs w:val="16"/>
              </w:rPr>
              <w:t>Depreciation &amp; amortisation charges</w:t>
            </w:r>
          </w:p>
        </w:tc>
        <w:tc>
          <w:tcPr>
            <w:tcW w:w="1093" w:type="dxa"/>
          </w:tcPr>
          <w:p w14:paraId="216B5BCC" w14:textId="77777777" w:rsidR="00EC6AB5" w:rsidRPr="00DD765F" w:rsidRDefault="00EC6AB5" w:rsidP="00EC6AB5">
            <w:pPr>
              <w:tabs>
                <w:tab w:val="center" w:pos="438"/>
                <w:tab w:val="right" w:pos="877"/>
              </w:tabs>
              <w:rPr>
                <w:sz w:val="16"/>
                <w:szCs w:val="16"/>
              </w:rPr>
            </w:pPr>
            <w:r w:rsidRPr="00DD765F">
              <w:rPr>
                <w:sz w:val="16"/>
                <w:szCs w:val="16"/>
              </w:rPr>
              <w:tab/>
            </w:r>
            <w:r w:rsidRPr="00DD765F">
              <w:rPr>
                <w:sz w:val="16"/>
                <w:szCs w:val="16"/>
              </w:rPr>
              <w:tab/>
              <w:t>4</w:t>
            </w:r>
            <w:r>
              <w:rPr>
                <w:sz w:val="16"/>
                <w:szCs w:val="16"/>
              </w:rPr>
              <w:t>22</w:t>
            </w:r>
          </w:p>
        </w:tc>
        <w:tc>
          <w:tcPr>
            <w:tcW w:w="1141" w:type="dxa"/>
          </w:tcPr>
          <w:p w14:paraId="2EAD7256" w14:textId="77777777" w:rsidR="00EC6AB5" w:rsidRPr="001955E4" w:rsidRDefault="00EC6AB5" w:rsidP="00EC6AB5">
            <w:pPr>
              <w:jc w:val="right"/>
              <w:rPr>
                <w:sz w:val="16"/>
                <w:szCs w:val="16"/>
              </w:rPr>
            </w:pPr>
            <w:r w:rsidRPr="001955E4">
              <w:rPr>
                <w:sz w:val="16"/>
                <w:szCs w:val="16"/>
              </w:rPr>
              <w:t>1</w:t>
            </w:r>
          </w:p>
        </w:tc>
        <w:tc>
          <w:tcPr>
            <w:tcW w:w="1035" w:type="dxa"/>
            <w:tcBorders>
              <w:right w:val="single" w:sz="4" w:space="0" w:color="auto"/>
            </w:tcBorders>
          </w:tcPr>
          <w:p w14:paraId="4F0813D3" w14:textId="77777777" w:rsidR="00EC6AB5" w:rsidRPr="00E372E7" w:rsidRDefault="00EC6AB5" w:rsidP="00EC6AB5">
            <w:pPr>
              <w:jc w:val="right"/>
              <w:rPr>
                <w:b/>
                <w:bCs/>
                <w:color w:val="000000" w:themeColor="text1"/>
                <w:sz w:val="16"/>
                <w:szCs w:val="16"/>
              </w:rPr>
            </w:pPr>
            <w:r w:rsidRPr="00E372E7">
              <w:rPr>
                <w:b/>
                <w:bCs/>
                <w:color w:val="000000" w:themeColor="text1"/>
                <w:sz w:val="16"/>
                <w:szCs w:val="16"/>
              </w:rPr>
              <w:t>42</w:t>
            </w:r>
            <w:r>
              <w:rPr>
                <w:b/>
                <w:bCs/>
                <w:color w:val="000000" w:themeColor="text1"/>
                <w:sz w:val="16"/>
                <w:szCs w:val="16"/>
              </w:rPr>
              <w:t>3</w:t>
            </w:r>
          </w:p>
        </w:tc>
        <w:tc>
          <w:tcPr>
            <w:tcW w:w="1093" w:type="dxa"/>
            <w:tcBorders>
              <w:left w:val="single" w:sz="4" w:space="0" w:color="auto"/>
            </w:tcBorders>
          </w:tcPr>
          <w:p w14:paraId="03ED638B" w14:textId="77777777" w:rsidR="00EC6AB5" w:rsidRPr="0008425B" w:rsidRDefault="00EC6AB5" w:rsidP="00EC6AB5">
            <w:pPr>
              <w:jc w:val="right"/>
              <w:rPr>
                <w:sz w:val="16"/>
                <w:szCs w:val="16"/>
              </w:rPr>
            </w:pPr>
            <w:r w:rsidRPr="0008425B">
              <w:rPr>
                <w:sz w:val="16"/>
                <w:szCs w:val="16"/>
              </w:rPr>
              <w:t>571</w:t>
            </w:r>
          </w:p>
        </w:tc>
        <w:tc>
          <w:tcPr>
            <w:tcW w:w="1141" w:type="dxa"/>
          </w:tcPr>
          <w:p w14:paraId="45106F76" w14:textId="77777777" w:rsidR="00EC6AB5" w:rsidRPr="0008425B" w:rsidRDefault="00EC6AB5" w:rsidP="00EC6AB5">
            <w:pPr>
              <w:jc w:val="right"/>
              <w:rPr>
                <w:sz w:val="16"/>
                <w:szCs w:val="16"/>
              </w:rPr>
            </w:pPr>
            <w:r w:rsidRPr="0008425B">
              <w:rPr>
                <w:sz w:val="16"/>
                <w:szCs w:val="16"/>
              </w:rPr>
              <w:t>40</w:t>
            </w:r>
          </w:p>
        </w:tc>
        <w:tc>
          <w:tcPr>
            <w:tcW w:w="1035" w:type="dxa"/>
          </w:tcPr>
          <w:p w14:paraId="2290E2E7" w14:textId="77777777" w:rsidR="00EC6AB5" w:rsidRPr="0008425B" w:rsidRDefault="00EC6AB5" w:rsidP="00EC6AB5">
            <w:pPr>
              <w:jc w:val="right"/>
              <w:rPr>
                <w:sz w:val="16"/>
                <w:szCs w:val="16"/>
              </w:rPr>
            </w:pPr>
            <w:r w:rsidRPr="0008425B">
              <w:rPr>
                <w:sz w:val="16"/>
                <w:szCs w:val="16"/>
              </w:rPr>
              <w:t>611</w:t>
            </w:r>
          </w:p>
        </w:tc>
      </w:tr>
      <w:tr w:rsidR="00EC6AB5" w:rsidRPr="007F4514" w14:paraId="5CB9DA92" w14:textId="77777777" w:rsidTr="00EC6AB5">
        <w:trPr>
          <w:trHeight w:val="284"/>
        </w:trPr>
        <w:tc>
          <w:tcPr>
            <w:tcW w:w="4045" w:type="dxa"/>
          </w:tcPr>
          <w:p w14:paraId="3B38647E" w14:textId="77777777" w:rsidR="00EC6AB5" w:rsidRPr="00E372E7" w:rsidRDefault="00EC6AB5" w:rsidP="00EC6AB5">
            <w:pPr>
              <w:rPr>
                <w:color w:val="000000" w:themeColor="text1"/>
                <w:sz w:val="16"/>
                <w:szCs w:val="16"/>
              </w:rPr>
            </w:pPr>
            <w:r w:rsidRPr="00E372E7">
              <w:rPr>
                <w:color w:val="000000" w:themeColor="text1"/>
                <w:sz w:val="16"/>
                <w:szCs w:val="16"/>
              </w:rPr>
              <w:t>Finance costs</w:t>
            </w:r>
          </w:p>
        </w:tc>
        <w:tc>
          <w:tcPr>
            <w:tcW w:w="1093" w:type="dxa"/>
          </w:tcPr>
          <w:p w14:paraId="666E43E4" w14:textId="77777777" w:rsidR="00EC6AB5" w:rsidRPr="00DD765F" w:rsidRDefault="00EC6AB5" w:rsidP="00EC6AB5">
            <w:pPr>
              <w:jc w:val="right"/>
              <w:rPr>
                <w:sz w:val="16"/>
                <w:szCs w:val="16"/>
              </w:rPr>
            </w:pPr>
            <w:r w:rsidRPr="00DD765F">
              <w:rPr>
                <w:sz w:val="16"/>
                <w:szCs w:val="16"/>
              </w:rPr>
              <w:t>152</w:t>
            </w:r>
          </w:p>
        </w:tc>
        <w:tc>
          <w:tcPr>
            <w:tcW w:w="1141" w:type="dxa"/>
          </w:tcPr>
          <w:p w14:paraId="2F2F5EAA" w14:textId="77777777" w:rsidR="00EC6AB5" w:rsidRPr="001955E4" w:rsidRDefault="00EC6AB5" w:rsidP="00EC6AB5">
            <w:pPr>
              <w:jc w:val="right"/>
              <w:rPr>
                <w:sz w:val="16"/>
                <w:szCs w:val="16"/>
              </w:rPr>
            </w:pPr>
            <w:r w:rsidRPr="001955E4">
              <w:rPr>
                <w:sz w:val="16"/>
                <w:szCs w:val="16"/>
              </w:rPr>
              <w:t>-</w:t>
            </w:r>
          </w:p>
        </w:tc>
        <w:tc>
          <w:tcPr>
            <w:tcW w:w="1035" w:type="dxa"/>
            <w:tcBorders>
              <w:right w:val="single" w:sz="4" w:space="0" w:color="auto"/>
            </w:tcBorders>
          </w:tcPr>
          <w:p w14:paraId="474F7B9F" w14:textId="77777777" w:rsidR="00EC6AB5" w:rsidRPr="00E372E7" w:rsidRDefault="00EC6AB5" w:rsidP="00EC6AB5">
            <w:pPr>
              <w:jc w:val="right"/>
              <w:rPr>
                <w:b/>
                <w:bCs/>
                <w:color w:val="000000" w:themeColor="text1"/>
                <w:sz w:val="16"/>
                <w:szCs w:val="16"/>
              </w:rPr>
            </w:pPr>
            <w:r w:rsidRPr="00E372E7">
              <w:rPr>
                <w:b/>
                <w:bCs/>
                <w:color w:val="000000" w:themeColor="text1"/>
                <w:sz w:val="16"/>
                <w:szCs w:val="16"/>
              </w:rPr>
              <w:t>152</w:t>
            </w:r>
          </w:p>
        </w:tc>
        <w:tc>
          <w:tcPr>
            <w:tcW w:w="1093" w:type="dxa"/>
            <w:tcBorders>
              <w:left w:val="single" w:sz="4" w:space="0" w:color="auto"/>
            </w:tcBorders>
          </w:tcPr>
          <w:p w14:paraId="4F4650C3" w14:textId="77777777" w:rsidR="00EC6AB5" w:rsidRPr="0008425B" w:rsidRDefault="00EC6AB5" w:rsidP="00EC6AB5">
            <w:pPr>
              <w:jc w:val="right"/>
              <w:rPr>
                <w:sz w:val="16"/>
                <w:szCs w:val="16"/>
              </w:rPr>
            </w:pPr>
            <w:r w:rsidRPr="0008425B">
              <w:rPr>
                <w:sz w:val="16"/>
                <w:szCs w:val="16"/>
              </w:rPr>
              <w:t>236</w:t>
            </w:r>
          </w:p>
        </w:tc>
        <w:tc>
          <w:tcPr>
            <w:tcW w:w="1141" w:type="dxa"/>
          </w:tcPr>
          <w:p w14:paraId="5795260D" w14:textId="77777777" w:rsidR="00EC6AB5" w:rsidRPr="0008425B" w:rsidRDefault="00EC6AB5" w:rsidP="00EC6AB5">
            <w:pPr>
              <w:jc w:val="right"/>
              <w:rPr>
                <w:sz w:val="16"/>
                <w:szCs w:val="16"/>
              </w:rPr>
            </w:pPr>
            <w:r w:rsidRPr="0008425B">
              <w:rPr>
                <w:sz w:val="16"/>
                <w:szCs w:val="16"/>
              </w:rPr>
              <w:t>-</w:t>
            </w:r>
          </w:p>
        </w:tc>
        <w:tc>
          <w:tcPr>
            <w:tcW w:w="1035" w:type="dxa"/>
          </w:tcPr>
          <w:p w14:paraId="0FE19911" w14:textId="77777777" w:rsidR="00EC6AB5" w:rsidRPr="0008425B" w:rsidRDefault="00EC6AB5" w:rsidP="00EC6AB5">
            <w:pPr>
              <w:jc w:val="right"/>
              <w:rPr>
                <w:sz w:val="16"/>
                <w:szCs w:val="16"/>
              </w:rPr>
            </w:pPr>
            <w:r w:rsidRPr="0008425B">
              <w:rPr>
                <w:sz w:val="16"/>
                <w:szCs w:val="16"/>
              </w:rPr>
              <w:t>236</w:t>
            </w:r>
          </w:p>
        </w:tc>
      </w:tr>
      <w:tr w:rsidR="00EC6AB5" w:rsidRPr="007F4514" w14:paraId="152DEE4C" w14:textId="77777777" w:rsidTr="00EC6AB5">
        <w:trPr>
          <w:trHeight w:val="284"/>
        </w:trPr>
        <w:tc>
          <w:tcPr>
            <w:tcW w:w="4045" w:type="dxa"/>
          </w:tcPr>
          <w:p w14:paraId="6102F21F" w14:textId="77777777" w:rsidR="00EC6AB5" w:rsidRPr="00E372E7" w:rsidRDefault="00EC6AB5" w:rsidP="00EC6AB5">
            <w:pPr>
              <w:rPr>
                <w:color w:val="000000" w:themeColor="text1"/>
                <w:sz w:val="16"/>
                <w:szCs w:val="16"/>
              </w:rPr>
            </w:pPr>
            <w:r w:rsidRPr="00E372E7">
              <w:rPr>
                <w:color w:val="000000" w:themeColor="text1"/>
                <w:sz w:val="16"/>
                <w:szCs w:val="16"/>
              </w:rPr>
              <w:t>Finance income</w:t>
            </w:r>
          </w:p>
        </w:tc>
        <w:tc>
          <w:tcPr>
            <w:tcW w:w="1093" w:type="dxa"/>
          </w:tcPr>
          <w:p w14:paraId="72229AE1" w14:textId="77777777" w:rsidR="00EC6AB5" w:rsidRPr="00DD765F" w:rsidRDefault="00EC6AB5" w:rsidP="00EC6AB5">
            <w:pPr>
              <w:jc w:val="right"/>
              <w:rPr>
                <w:sz w:val="16"/>
                <w:szCs w:val="16"/>
              </w:rPr>
            </w:pPr>
            <w:r w:rsidRPr="00DD765F">
              <w:rPr>
                <w:sz w:val="16"/>
                <w:szCs w:val="16"/>
              </w:rPr>
              <w:t>(1)</w:t>
            </w:r>
          </w:p>
        </w:tc>
        <w:tc>
          <w:tcPr>
            <w:tcW w:w="1141" w:type="dxa"/>
          </w:tcPr>
          <w:p w14:paraId="349C9230" w14:textId="77777777" w:rsidR="00EC6AB5" w:rsidRPr="001955E4" w:rsidRDefault="00EC6AB5" w:rsidP="00EC6AB5">
            <w:pPr>
              <w:jc w:val="right"/>
              <w:rPr>
                <w:sz w:val="16"/>
                <w:szCs w:val="16"/>
              </w:rPr>
            </w:pPr>
            <w:r w:rsidRPr="001955E4">
              <w:rPr>
                <w:sz w:val="16"/>
                <w:szCs w:val="16"/>
              </w:rPr>
              <w:t>-</w:t>
            </w:r>
          </w:p>
        </w:tc>
        <w:tc>
          <w:tcPr>
            <w:tcW w:w="1035" w:type="dxa"/>
            <w:tcBorders>
              <w:right w:val="single" w:sz="4" w:space="0" w:color="auto"/>
            </w:tcBorders>
          </w:tcPr>
          <w:p w14:paraId="75A11D5E" w14:textId="77777777" w:rsidR="00EC6AB5" w:rsidRPr="00E372E7" w:rsidRDefault="00EC6AB5" w:rsidP="00EC6AB5">
            <w:pPr>
              <w:jc w:val="right"/>
              <w:rPr>
                <w:b/>
                <w:bCs/>
                <w:color w:val="000000" w:themeColor="text1"/>
                <w:sz w:val="16"/>
                <w:szCs w:val="16"/>
              </w:rPr>
            </w:pPr>
            <w:r w:rsidRPr="00E372E7">
              <w:rPr>
                <w:b/>
                <w:bCs/>
                <w:color w:val="000000" w:themeColor="text1"/>
                <w:sz w:val="16"/>
                <w:szCs w:val="16"/>
              </w:rPr>
              <w:t>(1)</w:t>
            </w:r>
          </w:p>
        </w:tc>
        <w:tc>
          <w:tcPr>
            <w:tcW w:w="1093" w:type="dxa"/>
            <w:tcBorders>
              <w:left w:val="single" w:sz="4" w:space="0" w:color="auto"/>
            </w:tcBorders>
          </w:tcPr>
          <w:p w14:paraId="40F0887F" w14:textId="77777777" w:rsidR="00EC6AB5" w:rsidRPr="0008425B" w:rsidRDefault="00EC6AB5" w:rsidP="00EC6AB5">
            <w:pPr>
              <w:jc w:val="right"/>
              <w:rPr>
                <w:sz w:val="16"/>
                <w:szCs w:val="16"/>
              </w:rPr>
            </w:pPr>
            <w:r w:rsidRPr="0008425B">
              <w:rPr>
                <w:sz w:val="16"/>
                <w:szCs w:val="16"/>
              </w:rPr>
              <w:t>(1)</w:t>
            </w:r>
          </w:p>
        </w:tc>
        <w:tc>
          <w:tcPr>
            <w:tcW w:w="1141" w:type="dxa"/>
          </w:tcPr>
          <w:p w14:paraId="66B158F6" w14:textId="77777777" w:rsidR="00EC6AB5" w:rsidRPr="0008425B" w:rsidRDefault="00EC6AB5" w:rsidP="00EC6AB5">
            <w:pPr>
              <w:jc w:val="right"/>
              <w:rPr>
                <w:sz w:val="16"/>
                <w:szCs w:val="16"/>
              </w:rPr>
            </w:pPr>
            <w:r w:rsidRPr="0008425B">
              <w:rPr>
                <w:sz w:val="16"/>
                <w:szCs w:val="16"/>
              </w:rPr>
              <w:t>-</w:t>
            </w:r>
          </w:p>
        </w:tc>
        <w:tc>
          <w:tcPr>
            <w:tcW w:w="1035" w:type="dxa"/>
          </w:tcPr>
          <w:p w14:paraId="3CAEB3A1" w14:textId="77777777" w:rsidR="00EC6AB5" w:rsidRPr="0008425B" w:rsidRDefault="00EC6AB5" w:rsidP="00EC6AB5">
            <w:pPr>
              <w:jc w:val="right"/>
              <w:rPr>
                <w:sz w:val="16"/>
                <w:szCs w:val="16"/>
              </w:rPr>
            </w:pPr>
            <w:r w:rsidRPr="0008425B">
              <w:rPr>
                <w:sz w:val="16"/>
                <w:szCs w:val="16"/>
              </w:rPr>
              <w:t>(1)</w:t>
            </w:r>
          </w:p>
        </w:tc>
      </w:tr>
      <w:tr w:rsidR="00EC6AB5" w:rsidRPr="007F4514" w14:paraId="0A86D14F" w14:textId="77777777" w:rsidTr="00EC6AB5">
        <w:trPr>
          <w:trHeight w:val="284"/>
        </w:trPr>
        <w:tc>
          <w:tcPr>
            <w:tcW w:w="4045" w:type="dxa"/>
          </w:tcPr>
          <w:p w14:paraId="1E1BA60A" w14:textId="77777777" w:rsidR="00EC6AB5" w:rsidRPr="00E372E7" w:rsidRDefault="00EC6AB5" w:rsidP="00EC6AB5">
            <w:pPr>
              <w:rPr>
                <w:color w:val="000000" w:themeColor="text1"/>
                <w:sz w:val="16"/>
                <w:szCs w:val="16"/>
              </w:rPr>
            </w:pPr>
            <w:r w:rsidRPr="00E372E7">
              <w:rPr>
                <w:color w:val="000000" w:themeColor="text1"/>
                <w:sz w:val="16"/>
                <w:szCs w:val="16"/>
              </w:rPr>
              <w:t>(Gain)/loss on disposal of property, plant and equipment</w:t>
            </w:r>
          </w:p>
        </w:tc>
        <w:tc>
          <w:tcPr>
            <w:tcW w:w="1093" w:type="dxa"/>
          </w:tcPr>
          <w:p w14:paraId="73A14EBC" w14:textId="77777777" w:rsidR="00EC6AB5" w:rsidRPr="00DD765F" w:rsidRDefault="00EC6AB5" w:rsidP="00EC6AB5">
            <w:pPr>
              <w:jc w:val="right"/>
              <w:rPr>
                <w:sz w:val="16"/>
                <w:szCs w:val="16"/>
              </w:rPr>
            </w:pPr>
            <w:r>
              <w:rPr>
                <w:sz w:val="16"/>
                <w:szCs w:val="16"/>
              </w:rPr>
              <w:t>17</w:t>
            </w:r>
          </w:p>
        </w:tc>
        <w:tc>
          <w:tcPr>
            <w:tcW w:w="1141" w:type="dxa"/>
          </w:tcPr>
          <w:p w14:paraId="0E56808E" w14:textId="77777777" w:rsidR="00EC6AB5" w:rsidRPr="001955E4" w:rsidRDefault="00EC6AB5" w:rsidP="00EC6AB5">
            <w:pPr>
              <w:jc w:val="right"/>
              <w:rPr>
                <w:sz w:val="16"/>
                <w:szCs w:val="16"/>
              </w:rPr>
            </w:pPr>
            <w:r w:rsidRPr="001955E4">
              <w:rPr>
                <w:sz w:val="16"/>
                <w:szCs w:val="16"/>
              </w:rPr>
              <w:t>-</w:t>
            </w:r>
          </w:p>
        </w:tc>
        <w:tc>
          <w:tcPr>
            <w:tcW w:w="1035" w:type="dxa"/>
            <w:tcBorders>
              <w:right w:val="single" w:sz="4" w:space="0" w:color="auto"/>
            </w:tcBorders>
          </w:tcPr>
          <w:p w14:paraId="278E7D9C" w14:textId="77777777" w:rsidR="00EC6AB5" w:rsidRPr="00E372E7" w:rsidRDefault="00EC6AB5" w:rsidP="00EC6AB5">
            <w:pPr>
              <w:jc w:val="right"/>
              <w:rPr>
                <w:b/>
                <w:bCs/>
                <w:color w:val="000000" w:themeColor="text1"/>
                <w:sz w:val="16"/>
                <w:szCs w:val="16"/>
              </w:rPr>
            </w:pPr>
            <w:r>
              <w:rPr>
                <w:b/>
                <w:bCs/>
                <w:color w:val="000000" w:themeColor="text1"/>
                <w:sz w:val="16"/>
                <w:szCs w:val="16"/>
              </w:rPr>
              <w:t>17</w:t>
            </w:r>
          </w:p>
        </w:tc>
        <w:tc>
          <w:tcPr>
            <w:tcW w:w="1093" w:type="dxa"/>
            <w:tcBorders>
              <w:left w:val="single" w:sz="4" w:space="0" w:color="auto"/>
            </w:tcBorders>
          </w:tcPr>
          <w:p w14:paraId="2075A217" w14:textId="77777777" w:rsidR="00EC6AB5" w:rsidRPr="0008425B" w:rsidRDefault="00EC6AB5" w:rsidP="00EC6AB5">
            <w:pPr>
              <w:jc w:val="right"/>
              <w:rPr>
                <w:sz w:val="16"/>
                <w:szCs w:val="16"/>
              </w:rPr>
            </w:pPr>
            <w:r w:rsidRPr="0008425B">
              <w:rPr>
                <w:sz w:val="16"/>
                <w:szCs w:val="16"/>
              </w:rPr>
              <w:t>12</w:t>
            </w:r>
          </w:p>
        </w:tc>
        <w:tc>
          <w:tcPr>
            <w:tcW w:w="1141" w:type="dxa"/>
          </w:tcPr>
          <w:p w14:paraId="5BD80CB8" w14:textId="77777777" w:rsidR="00EC6AB5" w:rsidRPr="0008425B" w:rsidRDefault="00EC6AB5" w:rsidP="00EC6AB5">
            <w:pPr>
              <w:jc w:val="right"/>
              <w:rPr>
                <w:sz w:val="16"/>
                <w:szCs w:val="16"/>
              </w:rPr>
            </w:pPr>
            <w:r w:rsidRPr="0008425B">
              <w:rPr>
                <w:sz w:val="16"/>
                <w:szCs w:val="16"/>
              </w:rPr>
              <w:t>134</w:t>
            </w:r>
          </w:p>
        </w:tc>
        <w:tc>
          <w:tcPr>
            <w:tcW w:w="1035" w:type="dxa"/>
          </w:tcPr>
          <w:p w14:paraId="0A6CC9CF" w14:textId="77777777" w:rsidR="00EC6AB5" w:rsidRPr="0008425B" w:rsidRDefault="00EC6AB5" w:rsidP="00EC6AB5">
            <w:pPr>
              <w:jc w:val="right"/>
              <w:rPr>
                <w:sz w:val="16"/>
                <w:szCs w:val="16"/>
              </w:rPr>
            </w:pPr>
            <w:r w:rsidRPr="0008425B">
              <w:rPr>
                <w:sz w:val="16"/>
                <w:szCs w:val="16"/>
              </w:rPr>
              <w:t>146</w:t>
            </w:r>
          </w:p>
        </w:tc>
      </w:tr>
      <w:tr w:rsidR="00EC6AB5" w:rsidRPr="007F4514" w14:paraId="5F5168F4" w14:textId="77777777" w:rsidTr="00EC6AB5">
        <w:trPr>
          <w:trHeight w:val="284"/>
        </w:trPr>
        <w:tc>
          <w:tcPr>
            <w:tcW w:w="4045" w:type="dxa"/>
          </w:tcPr>
          <w:p w14:paraId="711885A2" w14:textId="77777777" w:rsidR="00EC6AB5" w:rsidRPr="00B91D42" w:rsidRDefault="00EC6AB5" w:rsidP="00EC6AB5">
            <w:pPr>
              <w:rPr>
                <w:color w:val="000000" w:themeColor="text1"/>
                <w:sz w:val="16"/>
                <w:szCs w:val="16"/>
              </w:rPr>
            </w:pPr>
            <w:r w:rsidRPr="00B91D42">
              <w:rPr>
                <w:color w:val="000000" w:themeColor="text1"/>
                <w:sz w:val="16"/>
                <w:szCs w:val="16"/>
              </w:rPr>
              <w:t>(Increase)</w:t>
            </w:r>
            <w:r>
              <w:rPr>
                <w:color w:val="000000" w:themeColor="text1"/>
                <w:sz w:val="16"/>
                <w:szCs w:val="16"/>
              </w:rPr>
              <w:t xml:space="preserve"> </w:t>
            </w:r>
            <w:r w:rsidRPr="00B91D42">
              <w:rPr>
                <w:color w:val="000000" w:themeColor="text1"/>
                <w:sz w:val="16"/>
                <w:szCs w:val="16"/>
              </w:rPr>
              <w:t>/</w:t>
            </w:r>
            <w:r>
              <w:rPr>
                <w:color w:val="000000" w:themeColor="text1"/>
                <w:sz w:val="16"/>
                <w:szCs w:val="16"/>
              </w:rPr>
              <w:t xml:space="preserve"> </w:t>
            </w:r>
            <w:r w:rsidRPr="00B91D42">
              <w:rPr>
                <w:color w:val="000000" w:themeColor="text1"/>
                <w:sz w:val="16"/>
                <w:szCs w:val="16"/>
              </w:rPr>
              <w:t>Decrease in trade and other receivables</w:t>
            </w:r>
          </w:p>
        </w:tc>
        <w:tc>
          <w:tcPr>
            <w:tcW w:w="1093" w:type="dxa"/>
          </w:tcPr>
          <w:p w14:paraId="20AF2D2E" w14:textId="77777777" w:rsidR="00EC6AB5" w:rsidRPr="00DD765F" w:rsidRDefault="00EC6AB5" w:rsidP="00EC6AB5">
            <w:pPr>
              <w:jc w:val="right"/>
              <w:rPr>
                <w:sz w:val="16"/>
                <w:szCs w:val="16"/>
              </w:rPr>
            </w:pPr>
            <w:r w:rsidRPr="00DD765F">
              <w:rPr>
                <w:sz w:val="16"/>
                <w:szCs w:val="16"/>
              </w:rPr>
              <w:t>(29,</w:t>
            </w:r>
            <w:r>
              <w:rPr>
                <w:sz w:val="16"/>
                <w:szCs w:val="16"/>
              </w:rPr>
              <w:t>201</w:t>
            </w:r>
            <w:r w:rsidRPr="00DD765F">
              <w:rPr>
                <w:sz w:val="16"/>
                <w:szCs w:val="16"/>
              </w:rPr>
              <w:t>)</w:t>
            </w:r>
          </w:p>
        </w:tc>
        <w:tc>
          <w:tcPr>
            <w:tcW w:w="1141" w:type="dxa"/>
          </w:tcPr>
          <w:p w14:paraId="7B650E7B" w14:textId="77777777" w:rsidR="00EC6AB5" w:rsidRPr="001955E4" w:rsidRDefault="00EC6AB5" w:rsidP="00EC6AB5">
            <w:pPr>
              <w:jc w:val="right"/>
              <w:rPr>
                <w:sz w:val="16"/>
                <w:szCs w:val="16"/>
              </w:rPr>
            </w:pPr>
            <w:r w:rsidRPr="001955E4">
              <w:rPr>
                <w:sz w:val="16"/>
                <w:szCs w:val="16"/>
              </w:rPr>
              <w:t>2</w:t>
            </w:r>
            <w:r>
              <w:rPr>
                <w:sz w:val="16"/>
                <w:szCs w:val="16"/>
              </w:rPr>
              <w:t>0</w:t>
            </w:r>
          </w:p>
        </w:tc>
        <w:tc>
          <w:tcPr>
            <w:tcW w:w="1035" w:type="dxa"/>
            <w:tcBorders>
              <w:right w:val="single" w:sz="4" w:space="0" w:color="auto"/>
            </w:tcBorders>
          </w:tcPr>
          <w:p w14:paraId="6EE97D8A" w14:textId="77777777" w:rsidR="00EC6AB5" w:rsidRPr="00B91D42" w:rsidRDefault="00EC6AB5" w:rsidP="00EC6AB5">
            <w:pPr>
              <w:jc w:val="right"/>
              <w:rPr>
                <w:b/>
                <w:bCs/>
                <w:color w:val="000000" w:themeColor="text1"/>
                <w:sz w:val="16"/>
                <w:szCs w:val="16"/>
              </w:rPr>
            </w:pPr>
            <w:r w:rsidRPr="00B91D42">
              <w:rPr>
                <w:b/>
                <w:bCs/>
                <w:color w:val="000000" w:themeColor="text1"/>
                <w:sz w:val="16"/>
                <w:szCs w:val="16"/>
              </w:rPr>
              <w:t>(29,</w:t>
            </w:r>
            <w:r>
              <w:rPr>
                <w:b/>
                <w:bCs/>
                <w:color w:val="000000" w:themeColor="text1"/>
                <w:sz w:val="16"/>
                <w:szCs w:val="16"/>
              </w:rPr>
              <w:t>18</w:t>
            </w:r>
            <w:r w:rsidRPr="00B91D42">
              <w:rPr>
                <w:b/>
                <w:bCs/>
                <w:color w:val="000000" w:themeColor="text1"/>
                <w:sz w:val="16"/>
                <w:szCs w:val="16"/>
              </w:rPr>
              <w:t>1)</w:t>
            </w:r>
          </w:p>
        </w:tc>
        <w:tc>
          <w:tcPr>
            <w:tcW w:w="1093" w:type="dxa"/>
            <w:tcBorders>
              <w:left w:val="single" w:sz="4" w:space="0" w:color="auto"/>
            </w:tcBorders>
          </w:tcPr>
          <w:p w14:paraId="0E8216E4" w14:textId="77777777" w:rsidR="00EC6AB5" w:rsidRPr="0008425B" w:rsidRDefault="00EC6AB5" w:rsidP="00EC6AB5">
            <w:pPr>
              <w:jc w:val="right"/>
              <w:rPr>
                <w:sz w:val="16"/>
                <w:szCs w:val="16"/>
              </w:rPr>
            </w:pPr>
            <w:r w:rsidRPr="0008425B">
              <w:rPr>
                <w:sz w:val="16"/>
                <w:szCs w:val="16"/>
              </w:rPr>
              <w:t>(22,147)</w:t>
            </w:r>
          </w:p>
        </w:tc>
        <w:tc>
          <w:tcPr>
            <w:tcW w:w="1141" w:type="dxa"/>
          </w:tcPr>
          <w:p w14:paraId="2FB4D0C4" w14:textId="77777777" w:rsidR="00EC6AB5" w:rsidRPr="0008425B" w:rsidRDefault="00EC6AB5" w:rsidP="00EC6AB5">
            <w:pPr>
              <w:jc w:val="right"/>
              <w:rPr>
                <w:sz w:val="16"/>
                <w:szCs w:val="16"/>
              </w:rPr>
            </w:pPr>
            <w:r w:rsidRPr="0008425B">
              <w:rPr>
                <w:sz w:val="16"/>
                <w:szCs w:val="16"/>
              </w:rPr>
              <w:t>359</w:t>
            </w:r>
          </w:p>
        </w:tc>
        <w:tc>
          <w:tcPr>
            <w:tcW w:w="1035" w:type="dxa"/>
          </w:tcPr>
          <w:p w14:paraId="46B9C1ED" w14:textId="77777777" w:rsidR="00EC6AB5" w:rsidRPr="0008425B" w:rsidRDefault="00EC6AB5" w:rsidP="00EC6AB5">
            <w:pPr>
              <w:jc w:val="right"/>
              <w:rPr>
                <w:sz w:val="16"/>
                <w:szCs w:val="16"/>
              </w:rPr>
            </w:pPr>
            <w:r w:rsidRPr="0008425B">
              <w:rPr>
                <w:sz w:val="16"/>
                <w:szCs w:val="16"/>
              </w:rPr>
              <w:t>(21,788)</w:t>
            </w:r>
          </w:p>
        </w:tc>
      </w:tr>
      <w:tr w:rsidR="00EC6AB5" w:rsidRPr="007F4514" w14:paraId="682629C3" w14:textId="77777777" w:rsidTr="00EC6AB5">
        <w:trPr>
          <w:trHeight w:val="284"/>
        </w:trPr>
        <w:tc>
          <w:tcPr>
            <w:tcW w:w="4045" w:type="dxa"/>
          </w:tcPr>
          <w:p w14:paraId="513439E6" w14:textId="77777777" w:rsidR="00EC6AB5" w:rsidRPr="00B91D42" w:rsidRDefault="00EC6AB5" w:rsidP="00EC6AB5">
            <w:pPr>
              <w:rPr>
                <w:color w:val="000000" w:themeColor="text1"/>
                <w:sz w:val="16"/>
                <w:szCs w:val="16"/>
              </w:rPr>
            </w:pPr>
            <w:r w:rsidRPr="00B91D42">
              <w:rPr>
                <w:color w:val="000000" w:themeColor="text1"/>
                <w:sz w:val="16"/>
                <w:szCs w:val="16"/>
              </w:rPr>
              <w:t>Increase / (Decrease) in trade and other payables</w:t>
            </w:r>
          </w:p>
        </w:tc>
        <w:tc>
          <w:tcPr>
            <w:tcW w:w="1093" w:type="dxa"/>
          </w:tcPr>
          <w:p w14:paraId="5714F19F" w14:textId="77777777" w:rsidR="00EC6AB5" w:rsidRPr="00DD765F" w:rsidRDefault="00EC6AB5" w:rsidP="00EC6AB5">
            <w:pPr>
              <w:jc w:val="right"/>
              <w:rPr>
                <w:sz w:val="16"/>
                <w:szCs w:val="16"/>
              </w:rPr>
            </w:pPr>
            <w:r w:rsidRPr="00DD765F">
              <w:rPr>
                <w:sz w:val="16"/>
                <w:szCs w:val="16"/>
              </w:rPr>
              <w:t>27,</w:t>
            </w:r>
            <w:r>
              <w:rPr>
                <w:sz w:val="16"/>
                <w:szCs w:val="16"/>
              </w:rPr>
              <w:t>056</w:t>
            </w:r>
          </w:p>
        </w:tc>
        <w:tc>
          <w:tcPr>
            <w:tcW w:w="1141" w:type="dxa"/>
          </w:tcPr>
          <w:p w14:paraId="59865413" w14:textId="77777777" w:rsidR="00EC6AB5" w:rsidRPr="001955E4" w:rsidRDefault="00EC6AB5" w:rsidP="00EC6AB5">
            <w:pPr>
              <w:jc w:val="right"/>
              <w:rPr>
                <w:sz w:val="16"/>
                <w:szCs w:val="16"/>
              </w:rPr>
            </w:pPr>
            <w:r w:rsidRPr="001955E4">
              <w:rPr>
                <w:sz w:val="16"/>
                <w:szCs w:val="16"/>
              </w:rPr>
              <w:t>(1</w:t>
            </w:r>
            <w:r>
              <w:rPr>
                <w:sz w:val="16"/>
                <w:szCs w:val="16"/>
              </w:rPr>
              <w:t>6</w:t>
            </w:r>
            <w:r w:rsidRPr="001955E4">
              <w:rPr>
                <w:sz w:val="16"/>
                <w:szCs w:val="16"/>
              </w:rPr>
              <w:t>)</w:t>
            </w:r>
          </w:p>
        </w:tc>
        <w:tc>
          <w:tcPr>
            <w:tcW w:w="1035" w:type="dxa"/>
            <w:tcBorders>
              <w:right w:val="single" w:sz="4" w:space="0" w:color="auto"/>
            </w:tcBorders>
          </w:tcPr>
          <w:p w14:paraId="11544BA6" w14:textId="77777777" w:rsidR="00EC6AB5" w:rsidRPr="00B91D42" w:rsidRDefault="00EC6AB5" w:rsidP="00EC6AB5">
            <w:pPr>
              <w:jc w:val="right"/>
              <w:rPr>
                <w:b/>
                <w:bCs/>
                <w:color w:val="000000" w:themeColor="text1"/>
                <w:sz w:val="16"/>
                <w:szCs w:val="16"/>
              </w:rPr>
            </w:pPr>
            <w:r w:rsidRPr="00B91D42">
              <w:rPr>
                <w:b/>
                <w:bCs/>
                <w:color w:val="000000" w:themeColor="text1"/>
                <w:sz w:val="16"/>
                <w:szCs w:val="16"/>
              </w:rPr>
              <w:t>27,0</w:t>
            </w:r>
            <w:r>
              <w:rPr>
                <w:b/>
                <w:bCs/>
                <w:color w:val="000000" w:themeColor="text1"/>
                <w:sz w:val="16"/>
                <w:szCs w:val="16"/>
              </w:rPr>
              <w:t>40</w:t>
            </w:r>
          </w:p>
        </w:tc>
        <w:tc>
          <w:tcPr>
            <w:tcW w:w="1093" w:type="dxa"/>
            <w:tcBorders>
              <w:left w:val="single" w:sz="4" w:space="0" w:color="auto"/>
            </w:tcBorders>
          </w:tcPr>
          <w:p w14:paraId="69E6E49C" w14:textId="77777777" w:rsidR="00EC6AB5" w:rsidRPr="0008425B" w:rsidRDefault="00EC6AB5" w:rsidP="00EC6AB5">
            <w:pPr>
              <w:jc w:val="right"/>
              <w:rPr>
                <w:sz w:val="16"/>
                <w:szCs w:val="16"/>
              </w:rPr>
            </w:pPr>
            <w:r w:rsidRPr="0008425B">
              <w:rPr>
                <w:sz w:val="16"/>
                <w:szCs w:val="16"/>
              </w:rPr>
              <w:t>15,632</w:t>
            </w:r>
          </w:p>
        </w:tc>
        <w:tc>
          <w:tcPr>
            <w:tcW w:w="1141" w:type="dxa"/>
          </w:tcPr>
          <w:p w14:paraId="59DD358C" w14:textId="77777777" w:rsidR="00EC6AB5" w:rsidRPr="0008425B" w:rsidRDefault="00EC6AB5" w:rsidP="00EC6AB5">
            <w:pPr>
              <w:jc w:val="right"/>
              <w:rPr>
                <w:sz w:val="16"/>
                <w:szCs w:val="16"/>
              </w:rPr>
            </w:pPr>
            <w:r w:rsidRPr="0008425B">
              <w:rPr>
                <w:sz w:val="16"/>
                <w:szCs w:val="16"/>
              </w:rPr>
              <w:t>(84)</w:t>
            </w:r>
          </w:p>
        </w:tc>
        <w:tc>
          <w:tcPr>
            <w:tcW w:w="1035" w:type="dxa"/>
          </w:tcPr>
          <w:p w14:paraId="165C25E3" w14:textId="77777777" w:rsidR="00EC6AB5" w:rsidRPr="0008425B" w:rsidRDefault="00EC6AB5" w:rsidP="00EC6AB5">
            <w:pPr>
              <w:jc w:val="right"/>
              <w:rPr>
                <w:sz w:val="16"/>
                <w:szCs w:val="16"/>
              </w:rPr>
            </w:pPr>
            <w:r w:rsidRPr="0008425B">
              <w:rPr>
                <w:sz w:val="16"/>
                <w:szCs w:val="16"/>
              </w:rPr>
              <w:t>15,548</w:t>
            </w:r>
          </w:p>
        </w:tc>
      </w:tr>
      <w:tr w:rsidR="00EC6AB5" w:rsidRPr="007F4514" w14:paraId="4D31CD9F" w14:textId="77777777" w:rsidTr="00EC6AB5">
        <w:trPr>
          <w:trHeight w:val="284"/>
        </w:trPr>
        <w:tc>
          <w:tcPr>
            <w:tcW w:w="4045" w:type="dxa"/>
            <w:tcBorders>
              <w:bottom w:val="single" w:sz="4" w:space="0" w:color="auto"/>
            </w:tcBorders>
          </w:tcPr>
          <w:p w14:paraId="1B1D15CD" w14:textId="77777777" w:rsidR="00EC6AB5" w:rsidRPr="00B91D42" w:rsidRDefault="00EC6AB5" w:rsidP="00EC6AB5">
            <w:pPr>
              <w:rPr>
                <w:color w:val="000000" w:themeColor="text1"/>
                <w:sz w:val="16"/>
                <w:szCs w:val="16"/>
              </w:rPr>
            </w:pPr>
            <w:r w:rsidRPr="00B91D42">
              <w:rPr>
                <w:color w:val="000000" w:themeColor="text1"/>
                <w:sz w:val="16"/>
                <w:szCs w:val="16"/>
              </w:rPr>
              <w:t>Movement in other non-cash items</w:t>
            </w:r>
          </w:p>
        </w:tc>
        <w:tc>
          <w:tcPr>
            <w:tcW w:w="1093" w:type="dxa"/>
            <w:tcBorders>
              <w:bottom w:val="single" w:sz="4" w:space="0" w:color="auto"/>
            </w:tcBorders>
            <w:shd w:val="clear" w:color="auto" w:fill="auto"/>
          </w:tcPr>
          <w:p w14:paraId="5DD2C289" w14:textId="77777777" w:rsidR="00EC6AB5" w:rsidRPr="00F41E80" w:rsidRDefault="00EC6AB5" w:rsidP="00EC6AB5">
            <w:pPr>
              <w:jc w:val="right"/>
              <w:rPr>
                <w:sz w:val="16"/>
                <w:szCs w:val="16"/>
              </w:rPr>
            </w:pPr>
            <w:r w:rsidRPr="00F41E80">
              <w:rPr>
                <w:sz w:val="16"/>
                <w:szCs w:val="16"/>
              </w:rPr>
              <w:t>944</w:t>
            </w:r>
          </w:p>
        </w:tc>
        <w:tc>
          <w:tcPr>
            <w:tcW w:w="1141" w:type="dxa"/>
            <w:tcBorders>
              <w:bottom w:val="single" w:sz="4" w:space="0" w:color="auto"/>
            </w:tcBorders>
            <w:shd w:val="clear" w:color="auto" w:fill="auto"/>
          </w:tcPr>
          <w:p w14:paraId="797DF382" w14:textId="77777777" w:rsidR="00EC6AB5" w:rsidRPr="00D33E23" w:rsidRDefault="00EC6AB5" w:rsidP="00EC6AB5">
            <w:pPr>
              <w:jc w:val="right"/>
              <w:rPr>
                <w:sz w:val="16"/>
                <w:szCs w:val="16"/>
              </w:rPr>
            </w:pPr>
            <w:r w:rsidRPr="00D33E23">
              <w:rPr>
                <w:sz w:val="16"/>
                <w:szCs w:val="16"/>
              </w:rPr>
              <w:t>(</w:t>
            </w:r>
            <w:r>
              <w:rPr>
                <w:sz w:val="16"/>
                <w:szCs w:val="16"/>
              </w:rPr>
              <w:t>435)</w:t>
            </w:r>
          </w:p>
        </w:tc>
        <w:tc>
          <w:tcPr>
            <w:tcW w:w="1035" w:type="dxa"/>
            <w:tcBorders>
              <w:bottom w:val="single" w:sz="4" w:space="0" w:color="auto"/>
              <w:right w:val="single" w:sz="4" w:space="0" w:color="auto"/>
            </w:tcBorders>
            <w:shd w:val="clear" w:color="auto" w:fill="auto"/>
          </w:tcPr>
          <w:p w14:paraId="6FF3B816" w14:textId="77777777" w:rsidR="00EC6AB5" w:rsidRPr="00D33E23" w:rsidRDefault="00EC6AB5" w:rsidP="00EC6AB5">
            <w:pPr>
              <w:jc w:val="right"/>
              <w:rPr>
                <w:b/>
                <w:bCs/>
                <w:color w:val="000000" w:themeColor="text1"/>
                <w:sz w:val="16"/>
                <w:szCs w:val="16"/>
              </w:rPr>
            </w:pPr>
            <w:r>
              <w:rPr>
                <w:b/>
                <w:bCs/>
                <w:color w:val="000000" w:themeColor="text1"/>
                <w:sz w:val="16"/>
                <w:szCs w:val="16"/>
              </w:rPr>
              <w:t>509</w:t>
            </w:r>
          </w:p>
        </w:tc>
        <w:tc>
          <w:tcPr>
            <w:tcW w:w="1093" w:type="dxa"/>
            <w:tcBorders>
              <w:left w:val="single" w:sz="4" w:space="0" w:color="auto"/>
              <w:bottom w:val="single" w:sz="4" w:space="0" w:color="auto"/>
            </w:tcBorders>
          </w:tcPr>
          <w:p w14:paraId="73EA198D" w14:textId="77777777" w:rsidR="00EC6AB5" w:rsidRPr="0008425B" w:rsidRDefault="00EC6AB5" w:rsidP="00EC6AB5">
            <w:pPr>
              <w:jc w:val="right"/>
              <w:rPr>
                <w:sz w:val="16"/>
                <w:szCs w:val="16"/>
              </w:rPr>
            </w:pPr>
            <w:r w:rsidRPr="0008425B">
              <w:rPr>
                <w:sz w:val="16"/>
                <w:szCs w:val="16"/>
              </w:rPr>
              <w:t>1,288</w:t>
            </w:r>
          </w:p>
        </w:tc>
        <w:tc>
          <w:tcPr>
            <w:tcW w:w="1141" w:type="dxa"/>
            <w:tcBorders>
              <w:bottom w:val="single" w:sz="4" w:space="0" w:color="auto"/>
            </w:tcBorders>
          </w:tcPr>
          <w:p w14:paraId="76E33646" w14:textId="77777777" w:rsidR="00EC6AB5" w:rsidRPr="0008425B" w:rsidRDefault="00EC6AB5" w:rsidP="00EC6AB5">
            <w:pPr>
              <w:jc w:val="right"/>
              <w:rPr>
                <w:sz w:val="16"/>
                <w:szCs w:val="16"/>
              </w:rPr>
            </w:pPr>
            <w:r w:rsidRPr="0008425B">
              <w:rPr>
                <w:sz w:val="16"/>
                <w:szCs w:val="16"/>
              </w:rPr>
              <w:t>(46)</w:t>
            </w:r>
          </w:p>
        </w:tc>
        <w:tc>
          <w:tcPr>
            <w:tcW w:w="1035" w:type="dxa"/>
            <w:tcBorders>
              <w:bottom w:val="single" w:sz="4" w:space="0" w:color="auto"/>
            </w:tcBorders>
          </w:tcPr>
          <w:p w14:paraId="05A6059B" w14:textId="77777777" w:rsidR="00EC6AB5" w:rsidRPr="0008425B" w:rsidRDefault="00EC6AB5" w:rsidP="00EC6AB5">
            <w:pPr>
              <w:jc w:val="right"/>
              <w:rPr>
                <w:sz w:val="16"/>
                <w:szCs w:val="16"/>
              </w:rPr>
            </w:pPr>
            <w:r w:rsidRPr="0008425B">
              <w:rPr>
                <w:sz w:val="16"/>
                <w:szCs w:val="16"/>
              </w:rPr>
              <w:t>1,242</w:t>
            </w:r>
          </w:p>
        </w:tc>
      </w:tr>
      <w:tr w:rsidR="00EC6AB5" w:rsidRPr="007F4514" w14:paraId="593CE9E3" w14:textId="77777777" w:rsidTr="00EC6AB5">
        <w:trPr>
          <w:trHeight w:val="284"/>
        </w:trPr>
        <w:tc>
          <w:tcPr>
            <w:tcW w:w="4045" w:type="dxa"/>
            <w:tcBorders>
              <w:top w:val="single" w:sz="4" w:space="0" w:color="auto"/>
            </w:tcBorders>
          </w:tcPr>
          <w:p w14:paraId="0AAA1D17" w14:textId="77777777" w:rsidR="00EC6AB5" w:rsidRPr="00315D7D" w:rsidRDefault="00EC6AB5" w:rsidP="00EC6AB5">
            <w:pPr>
              <w:rPr>
                <w:color w:val="000000" w:themeColor="text1"/>
                <w:sz w:val="18"/>
                <w:szCs w:val="18"/>
              </w:rPr>
            </w:pPr>
          </w:p>
          <w:p w14:paraId="3B2AA40B" w14:textId="77777777" w:rsidR="00EC6AB5" w:rsidRDefault="00EC6AB5" w:rsidP="00EC6AB5">
            <w:pPr>
              <w:rPr>
                <w:b/>
                <w:bCs/>
                <w:color w:val="000000" w:themeColor="text1"/>
                <w:sz w:val="18"/>
                <w:szCs w:val="18"/>
              </w:rPr>
            </w:pPr>
          </w:p>
          <w:p w14:paraId="6DE405AC" w14:textId="77777777" w:rsidR="00EC6AB5" w:rsidRPr="00315D7D" w:rsidRDefault="00EC6AB5" w:rsidP="00EC6AB5">
            <w:pPr>
              <w:rPr>
                <w:b/>
                <w:bCs/>
                <w:color w:val="000000" w:themeColor="text1"/>
                <w:sz w:val="18"/>
                <w:szCs w:val="18"/>
              </w:rPr>
            </w:pPr>
            <w:r w:rsidRPr="00315D7D">
              <w:rPr>
                <w:b/>
                <w:bCs/>
                <w:color w:val="000000" w:themeColor="text1"/>
                <w:sz w:val="18"/>
                <w:szCs w:val="18"/>
              </w:rPr>
              <w:t>Cash flows from operating activities</w:t>
            </w:r>
          </w:p>
          <w:p w14:paraId="5FBA82DB" w14:textId="77777777" w:rsidR="00EC6AB5" w:rsidRPr="00DE0393" w:rsidRDefault="00EC6AB5" w:rsidP="00EC6AB5">
            <w:pPr>
              <w:rPr>
                <w:color w:val="000000" w:themeColor="text1"/>
                <w:sz w:val="16"/>
                <w:szCs w:val="16"/>
              </w:rPr>
            </w:pPr>
          </w:p>
          <w:p w14:paraId="113AF0A4" w14:textId="77777777" w:rsidR="00EC6AB5" w:rsidRPr="00DE0393" w:rsidRDefault="00EC6AB5" w:rsidP="00EC6AB5">
            <w:pPr>
              <w:rPr>
                <w:color w:val="000000" w:themeColor="text1"/>
                <w:sz w:val="16"/>
                <w:szCs w:val="16"/>
              </w:rPr>
            </w:pPr>
            <w:r w:rsidRPr="00DE0393">
              <w:rPr>
                <w:color w:val="000000" w:themeColor="text1"/>
                <w:sz w:val="16"/>
                <w:szCs w:val="16"/>
              </w:rPr>
              <w:t>Interest paid</w:t>
            </w:r>
          </w:p>
        </w:tc>
        <w:tc>
          <w:tcPr>
            <w:tcW w:w="1093" w:type="dxa"/>
            <w:tcBorders>
              <w:top w:val="single" w:sz="4" w:space="0" w:color="auto"/>
            </w:tcBorders>
            <w:shd w:val="clear" w:color="auto" w:fill="auto"/>
          </w:tcPr>
          <w:p w14:paraId="1ACB0390" w14:textId="77777777" w:rsidR="00EC6AB5" w:rsidRPr="00F41E80" w:rsidRDefault="00EC6AB5" w:rsidP="00EC6AB5">
            <w:pPr>
              <w:jc w:val="right"/>
              <w:rPr>
                <w:color w:val="000000" w:themeColor="text1"/>
                <w:sz w:val="16"/>
                <w:szCs w:val="16"/>
              </w:rPr>
            </w:pPr>
            <w:r w:rsidRPr="00F41E80">
              <w:rPr>
                <w:color w:val="000000" w:themeColor="text1"/>
                <w:sz w:val="16"/>
                <w:szCs w:val="16"/>
              </w:rPr>
              <w:t>3,468</w:t>
            </w:r>
          </w:p>
          <w:p w14:paraId="79546501" w14:textId="77777777" w:rsidR="00EC6AB5" w:rsidRPr="00F41E80" w:rsidRDefault="00EC6AB5" w:rsidP="00EC6AB5">
            <w:pPr>
              <w:jc w:val="right"/>
              <w:rPr>
                <w:color w:val="000000" w:themeColor="text1"/>
                <w:sz w:val="16"/>
                <w:szCs w:val="16"/>
              </w:rPr>
            </w:pPr>
          </w:p>
          <w:p w14:paraId="35B3D252" w14:textId="77777777" w:rsidR="00EC6AB5" w:rsidRPr="00F41E80" w:rsidRDefault="00EC6AB5" w:rsidP="00EC6AB5">
            <w:pPr>
              <w:jc w:val="right"/>
              <w:rPr>
                <w:color w:val="000000" w:themeColor="text1"/>
                <w:sz w:val="16"/>
                <w:szCs w:val="16"/>
              </w:rPr>
            </w:pPr>
          </w:p>
          <w:p w14:paraId="4E98707A" w14:textId="77777777" w:rsidR="00EC6AB5" w:rsidRPr="00F41E80" w:rsidRDefault="00EC6AB5" w:rsidP="00EC6AB5">
            <w:pPr>
              <w:jc w:val="right"/>
              <w:rPr>
                <w:color w:val="000000" w:themeColor="text1"/>
                <w:sz w:val="16"/>
                <w:szCs w:val="16"/>
              </w:rPr>
            </w:pPr>
          </w:p>
          <w:p w14:paraId="491FC63F" w14:textId="77777777" w:rsidR="00EC6AB5" w:rsidRPr="00F41E80" w:rsidRDefault="00EC6AB5" w:rsidP="00EC6AB5">
            <w:pPr>
              <w:jc w:val="right"/>
              <w:rPr>
                <w:color w:val="000000" w:themeColor="text1"/>
                <w:sz w:val="16"/>
                <w:szCs w:val="16"/>
              </w:rPr>
            </w:pPr>
            <w:r w:rsidRPr="00F41E80">
              <w:rPr>
                <w:color w:val="000000" w:themeColor="text1"/>
                <w:sz w:val="16"/>
                <w:szCs w:val="16"/>
              </w:rPr>
              <w:t>(152)</w:t>
            </w:r>
          </w:p>
        </w:tc>
        <w:tc>
          <w:tcPr>
            <w:tcW w:w="1141" w:type="dxa"/>
            <w:tcBorders>
              <w:top w:val="single" w:sz="4" w:space="0" w:color="auto"/>
            </w:tcBorders>
            <w:shd w:val="clear" w:color="auto" w:fill="auto"/>
          </w:tcPr>
          <w:p w14:paraId="63053521" w14:textId="77777777" w:rsidR="00EC6AB5" w:rsidRPr="00D33E23" w:rsidRDefault="00EC6AB5" w:rsidP="00EC6AB5">
            <w:pPr>
              <w:jc w:val="right"/>
              <w:rPr>
                <w:color w:val="000000" w:themeColor="text1"/>
                <w:sz w:val="16"/>
                <w:szCs w:val="16"/>
              </w:rPr>
            </w:pPr>
            <w:r>
              <w:rPr>
                <w:color w:val="000000" w:themeColor="text1"/>
                <w:sz w:val="16"/>
                <w:szCs w:val="16"/>
              </w:rPr>
              <w:t>(342)</w:t>
            </w:r>
          </w:p>
          <w:p w14:paraId="59D40F73" w14:textId="77777777" w:rsidR="00EC6AB5" w:rsidRPr="00D33E23" w:rsidRDefault="00EC6AB5" w:rsidP="00EC6AB5">
            <w:pPr>
              <w:jc w:val="right"/>
              <w:rPr>
                <w:color w:val="000000" w:themeColor="text1"/>
                <w:sz w:val="16"/>
                <w:szCs w:val="16"/>
              </w:rPr>
            </w:pPr>
          </w:p>
          <w:p w14:paraId="37618E29" w14:textId="77777777" w:rsidR="00EC6AB5" w:rsidRPr="00D33E23" w:rsidRDefault="00EC6AB5" w:rsidP="00EC6AB5">
            <w:pPr>
              <w:jc w:val="right"/>
              <w:rPr>
                <w:color w:val="000000" w:themeColor="text1"/>
                <w:sz w:val="16"/>
                <w:szCs w:val="16"/>
              </w:rPr>
            </w:pPr>
          </w:p>
          <w:p w14:paraId="34979D80" w14:textId="77777777" w:rsidR="00EC6AB5" w:rsidRPr="00D33E23" w:rsidRDefault="00EC6AB5" w:rsidP="00EC6AB5">
            <w:pPr>
              <w:jc w:val="right"/>
              <w:rPr>
                <w:color w:val="000000" w:themeColor="text1"/>
                <w:sz w:val="16"/>
                <w:szCs w:val="16"/>
              </w:rPr>
            </w:pPr>
          </w:p>
          <w:p w14:paraId="378212D7" w14:textId="77777777" w:rsidR="00EC6AB5" w:rsidRPr="00D33E23" w:rsidRDefault="00EC6AB5" w:rsidP="00EC6AB5">
            <w:pPr>
              <w:jc w:val="right"/>
              <w:rPr>
                <w:color w:val="000000" w:themeColor="text1"/>
                <w:sz w:val="16"/>
                <w:szCs w:val="16"/>
              </w:rPr>
            </w:pPr>
            <w:r w:rsidRPr="00D33E23">
              <w:rPr>
                <w:color w:val="000000" w:themeColor="text1"/>
                <w:sz w:val="16"/>
                <w:szCs w:val="16"/>
              </w:rPr>
              <w:t>-</w:t>
            </w:r>
          </w:p>
        </w:tc>
        <w:tc>
          <w:tcPr>
            <w:tcW w:w="1035" w:type="dxa"/>
            <w:tcBorders>
              <w:top w:val="single" w:sz="4" w:space="0" w:color="auto"/>
              <w:right w:val="single" w:sz="4" w:space="0" w:color="auto"/>
            </w:tcBorders>
            <w:shd w:val="clear" w:color="auto" w:fill="auto"/>
          </w:tcPr>
          <w:p w14:paraId="141985B2" w14:textId="77777777" w:rsidR="00EC6AB5" w:rsidRPr="00D33E23" w:rsidRDefault="00EC6AB5" w:rsidP="00EC6AB5">
            <w:pPr>
              <w:jc w:val="right"/>
              <w:rPr>
                <w:b/>
                <w:bCs/>
                <w:color w:val="000000" w:themeColor="text1"/>
                <w:sz w:val="16"/>
                <w:szCs w:val="16"/>
              </w:rPr>
            </w:pPr>
            <w:r>
              <w:rPr>
                <w:b/>
                <w:bCs/>
                <w:color w:val="000000" w:themeColor="text1"/>
                <w:sz w:val="16"/>
                <w:szCs w:val="16"/>
              </w:rPr>
              <w:t>3,126</w:t>
            </w:r>
          </w:p>
          <w:p w14:paraId="322AAAFF" w14:textId="77777777" w:rsidR="00EC6AB5" w:rsidRPr="00D33E23" w:rsidRDefault="00EC6AB5" w:rsidP="00EC6AB5">
            <w:pPr>
              <w:jc w:val="right"/>
              <w:rPr>
                <w:b/>
                <w:bCs/>
                <w:color w:val="000000" w:themeColor="text1"/>
                <w:sz w:val="16"/>
                <w:szCs w:val="16"/>
              </w:rPr>
            </w:pPr>
          </w:p>
          <w:p w14:paraId="29EECE5B" w14:textId="77777777" w:rsidR="00EC6AB5" w:rsidRPr="00D33E23" w:rsidRDefault="00EC6AB5" w:rsidP="00EC6AB5">
            <w:pPr>
              <w:jc w:val="right"/>
              <w:rPr>
                <w:b/>
                <w:bCs/>
                <w:color w:val="000000" w:themeColor="text1"/>
                <w:sz w:val="16"/>
                <w:szCs w:val="16"/>
              </w:rPr>
            </w:pPr>
          </w:p>
          <w:p w14:paraId="496F4B1B" w14:textId="77777777" w:rsidR="00EC6AB5" w:rsidRPr="00D33E23" w:rsidRDefault="00EC6AB5" w:rsidP="00EC6AB5">
            <w:pPr>
              <w:jc w:val="right"/>
              <w:rPr>
                <w:b/>
                <w:bCs/>
                <w:color w:val="000000" w:themeColor="text1"/>
                <w:sz w:val="16"/>
                <w:szCs w:val="16"/>
              </w:rPr>
            </w:pPr>
          </w:p>
          <w:p w14:paraId="4DA120AD" w14:textId="77777777" w:rsidR="00EC6AB5" w:rsidRPr="00D33E23" w:rsidRDefault="00EC6AB5" w:rsidP="00EC6AB5">
            <w:pPr>
              <w:jc w:val="right"/>
              <w:rPr>
                <w:b/>
                <w:bCs/>
                <w:color w:val="000000" w:themeColor="text1"/>
                <w:sz w:val="16"/>
                <w:szCs w:val="16"/>
              </w:rPr>
            </w:pPr>
            <w:r w:rsidRPr="00D33E23">
              <w:rPr>
                <w:b/>
                <w:bCs/>
                <w:color w:val="000000" w:themeColor="text1"/>
                <w:sz w:val="16"/>
                <w:szCs w:val="16"/>
              </w:rPr>
              <w:t>(152)</w:t>
            </w:r>
          </w:p>
        </w:tc>
        <w:tc>
          <w:tcPr>
            <w:tcW w:w="1093" w:type="dxa"/>
            <w:tcBorders>
              <w:top w:val="single" w:sz="4" w:space="0" w:color="auto"/>
              <w:left w:val="single" w:sz="4" w:space="0" w:color="auto"/>
            </w:tcBorders>
          </w:tcPr>
          <w:p w14:paraId="396F6CD5" w14:textId="77777777" w:rsidR="00EC6AB5" w:rsidRPr="0008425B" w:rsidRDefault="00EC6AB5" w:rsidP="00EC6AB5">
            <w:pPr>
              <w:jc w:val="right"/>
              <w:rPr>
                <w:sz w:val="16"/>
                <w:szCs w:val="16"/>
              </w:rPr>
            </w:pPr>
            <w:r w:rsidRPr="0008425B">
              <w:rPr>
                <w:sz w:val="16"/>
                <w:szCs w:val="16"/>
              </w:rPr>
              <w:t>(3,008)</w:t>
            </w:r>
          </w:p>
          <w:p w14:paraId="02AEF502" w14:textId="77777777" w:rsidR="00EC6AB5" w:rsidRPr="0008425B" w:rsidRDefault="00EC6AB5" w:rsidP="00EC6AB5">
            <w:pPr>
              <w:jc w:val="right"/>
              <w:rPr>
                <w:sz w:val="16"/>
                <w:szCs w:val="16"/>
              </w:rPr>
            </w:pPr>
          </w:p>
          <w:p w14:paraId="0CFA0819" w14:textId="77777777" w:rsidR="00EC6AB5" w:rsidRPr="0008425B" w:rsidRDefault="00EC6AB5" w:rsidP="00EC6AB5">
            <w:pPr>
              <w:jc w:val="right"/>
              <w:rPr>
                <w:sz w:val="16"/>
                <w:szCs w:val="16"/>
              </w:rPr>
            </w:pPr>
          </w:p>
          <w:p w14:paraId="6F156DAA" w14:textId="77777777" w:rsidR="00EC6AB5" w:rsidRPr="0008425B" w:rsidRDefault="00EC6AB5" w:rsidP="00EC6AB5">
            <w:pPr>
              <w:jc w:val="right"/>
              <w:rPr>
                <w:sz w:val="16"/>
                <w:szCs w:val="16"/>
              </w:rPr>
            </w:pPr>
          </w:p>
          <w:p w14:paraId="241D07A3" w14:textId="77777777" w:rsidR="00EC6AB5" w:rsidRPr="0008425B" w:rsidRDefault="00EC6AB5" w:rsidP="00EC6AB5">
            <w:pPr>
              <w:jc w:val="right"/>
              <w:rPr>
                <w:sz w:val="16"/>
                <w:szCs w:val="16"/>
              </w:rPr>
            </w:pPr>
            <w:r w:rsidRPr="0008425B">
              <w:rPr>
                <w:sz w:val="16"/>
                <w:szCs w:val="16"/>
              </w:rPr>
              <w:t>(236)</w:t>
            </w:r>
          </w:p>
        </w:tc>
        <w:tc>
          <w:tcPr>
            <w:tcW w:w="1141" w:type="dxa"/>
            <w:tcBorders>
              <w:top w:val="single" w:sz="4" w:space="0" w:color="auto"/>
            </w:tcBorders>
          </w:tcPr>
          <w:p w14:paraId="08BAD0B5" w14:textId="77777777" w:rsidR="00EC6AB5" w:rsidRPr="0008425B" w:rsidRDefault="00EC6AB5" w:rsidP="00EC6AB5">
            <w:pPr>
              <w:jc w:val="right"/>
              <w:rPr>
                <w:sz w:val="16"/>
                <w:szCs w:val="16"/>
              </w:rPr>
            </w:pPr>
            <w:r w:rsidRPr="0008425B">
              <w:rPr>
                <w:sz w:val="16"/>
                <w:szCs w:val="16"/>
              </w:rPr>
              <w:t>57</w:t>
            </w:r>
          </w:p>
          <w:p w14:paraId="01E57717" w14:textId="77777777" w:rsidR="00EC6AB5" w:rsidRPr="0008425B" w:rsidRDefault="00EC6AB5" w:rsidP="00EC6AB5">
            <w:pPr>
              <w:jc w:val="right"/>
              <w:rPr>
                <w:sz w:val="16"/>
                <w:szCs w:val="16"/>
              </w:rPr>
            </w:pPr>
          </w:p>
          <w:p w14:paraId="5B165DD5" w14:textId="77777777" w:rsidR="00EC6AB5" w:rsidRPr="0008425B" w:rsidRDefault="00EC6AB5" w:rsidP="00EC6AB5">
            <w:pPr>
              <w:jc w:val="right"/>
              <w:rPr>
                <w:sz w:val="16"/>
                <w:szCs w:val="16"/>
              </w:rPr>
            </w:pPr>
          </w:p>
          <w:p w14:paraId="041AA23B" w14:textId="77777777" w:rsidR="00EC6AB5" w:rsidRPr="0008425B" w:rsidRDefault="00EC6AB5" w:rsidP="00EC6AB5">
            <w:pPr>
              <w:jc w:val="right"/>
              <w:rPr>
                <w:sz w:val="16"/>
                <w:szCs w:val="16"/>
              </w:rPr>
            </w:pPr>
          </w:p>
          <w:p w14:paraId="0CCE607E" w14:textId="77777777" w:rsidR="00EC6AB5" w:rsidRPr="0008425B" w:rsidRDefault="00EC6AB5" w:rsidP="00EC6AB5">
            <w:pPr>
              <w:jc w:val="right"/>
              <w:rPr>
                <w:sz w:val="16"/>
                <w:szCs w:val="16"/>
              </w:rPr>
            </w:pPr>
            <w:r w:rsidRPr="0008425B">
              <w:rPr>
                <w:sz w:val="16"/>
                <w:szCs w:val="16"/>
              </w:rPr>
              <w:t>-</w:t>
            </w:r>
          </w:p>
        </w:tc>
        <w:tc>
          <w:tcPr>
            <w:tcW w:w="1035" w:type="dxa"/>
            <w:tcBorders>
              <w:top w:val="single" w:sz="4" w:space="0" w:color="auto"/>
            </w:tcBorders>
          </w:tcPr>
          <w:p w14:paraId="645877F2" w14:textId="77777777" w:rsidR="00EC6AB5" w:rsidRPr="0008425B" w:rsidRDefault="00EC6AB5" w:rsidP="00EC6AB5">
            <w:pPr>
              <w:jc w:val="right"/>
              <w:rPr>
                <w:sz w:val="16"/>
                <w:szCs w:val="16"/>
              </w:rPr>
            </w:pPr>
            <w:r w:rsidRPr="0008425B">
              <w:rPr>
                <w:sz w:val="16"/>
                <w:szCs w:val="16"/>
              </w:rPr>
              <w:t>(2,951)</w:t>
            </w:r>
          </w:p>
          <w:p w14:paraId="30FE6544" w14:textId="77777777" w:rsidR="00EC6AB5" w:rsidRPr="0008425B" w:rsidRDefault="00EC6AB5" w:rsidP="00EC6AB5">
            <w:pPr>
              <w:jc w:val="right"/>
              <w:rPr>
                <w:sz w:val="16"/>
                <w:szCs w:val="16"/>
              </w:rPr>
            </w:pPr>
          </w:p>
          <w:p w14:paraId="2A7FC030" w14:textId="77777777" w:rsidR="00EC6AB5" w:rsidRPr="0008425B" w:rsidRDefault="00EC6AB5" w:rsidP="00EC6AB5">
            <w:pPr>
              <w:jc w:val="right"/>
              <w:rPr>
                <w:sz w:val="16"/>
                <w:szCs w:val="16"/>
              </w:rPr>
            </w:pPr>
          </w:p>
          <w:p w14:paraId="01FCCD27" w14:textId="77777777" w:rsidR="00EC6AB5" w:rsidRPr="0008425B" w:rsidRDefault="00EC6AB5" w:rsidP="00EC6AB5">
            <w:pPr>
              <w:jc w:val="right"/>
              <w:rPr>
                <w:sz w:val="16"/>
                <w:szCs w:val="16"/>
              </w:rPr>
            </w:pPr>
          </w:p>
          <w:p w14:paraId="5A57113B" w14:textId="77777777" w:rsidR="00EC6AB5" w:rsidRPr="0008425B" w:rsidRDefault="00EC6AB5" w:rsidP="00EC6AB5">
            <w:pPr>
              <w:jc w:val="right"/>
              <w:rPr>
                <w:sz w:val="16"/>
                <w:szCs w:val="16"/>
              </w:rPr>
            </w:pPr>
            <w:r w:rsidRPr="0008425B">
              <w:rPr>
                <w:sz w:val="16"/>
                <w:szCs w:val="16"/>
              </w:rPr>
              <w:t>(236)</w:t>
            </w:r>
          </w:p>
        </w:tc>
      </w:tr>
      <w:tr w:rsidR="00EC6AB5" w:rsidRPr="007F4514" w14:paraId="29D48E38" w14:textId="77777777" w:rsidTr="00EC6AB5">
        <w:trPr>
          <w:trHeight w:val="284"/>
        </w:trPr>
        <w:tc>
          <w:tcPr>
            <w:tcW w:w="4045" w:type="dxa"/>
            <w:tcBorders>
              <w:bottom w:val="single" w:sz="4" w:space="0" w:color="auto"/>
            </w:tcBorders>
          </w:tcPr>
          <w:p w14:paraId="10E59810" w14:textId="77777777" w:rsidR="00EC6AB5" w:rsidRPr="00DE0393" w:rsidRDefault="00EC6AB5" w:rsidP="00EC6AB5">
            <w:pPr>
              <w:rPr>
                <w:color w:val="000000" w:themeColor="text1"/>
                <w:sz w:val="16"/>
                <w:szCs w:val="16"/>
              </w:rPr>
            </w:pPr>
            <w:r w:rsidRPr="00DE0393">
              <w:rPr>
                <w:color w:val="000000" w:themeColor="text1"/>
                <w:sz w:val="16"/>
                <w:szCs w:val="16"/>
              </w:rPr>
              <w:t>Tax paid</w:t>
            </w:r>
          </w:p>
        </w:tc>
        <w:tc>
          <w:tcPr>
            <w:tcW w:w="1093" w:type="dxa"/>
            <w:tcBorders>
              <w:bottom w:val="single" w:sz="4" w:space="0" w:color="auto"/>
            </w:tcBorders>
            <w:shd w:val="clear" w:color="auto" w:fill="auto"/>
          </w:tcPr>
          <w:p w14:paraId="5B5BCED4" w14:textId="77777777" w:rsidR="00EC6AB5" w:rsidRPr="00D33E23" w:rsidRDefault="00EC6AB5" w:rsidP="00EC6AB5">
            <w:pPr>
              <w:jc w:val="right"/>
              <w:rPr>
                <w:color w:val="000000" w:themeColor="text1"/>
                <w:sz w:val="16"/>
                <w:szCs w:val="16"/>
              </w:rPr>
            </w:pPr>
            <w:r w:rsidRPr="00D33E23">
              <w:rPr>
                <w:color w:val="000000" w:themeColor="text1"/>
                <w:sz w:val="16"/>
                <w:szCs w:val="16"/>
              </w:rPr>
              <w:t>(541)</w:t>
            </w:r>
          </w:p>
        </w:tc>
        <w:tc>
          <w:tcPr>
            <w:tcW w:w="1141" w:type="dxa"/>
            <w:tcBorders>
              <w:bottom w:val="single" w:sz="4" w:space="0" w:color="auto"/>
            </w:tcBorders>
            <w:shd w:val="clear" w:color="auto" w:fill="auto"/>
          </w:tcPr>
          <w:p w14:paraId="6C1A844A" w14:textId="77777777" w:rsidR="00EC6AB5" w:rsidRPr="00D33E23" w:rsidRDefault="00EC6AB5" w:rsidP="00EC6AB5">
            <w:pPr>
              <w:jc w:val="right"/>
              <w:rPr>
                <w:color w:val="000000" w:themeColor="text1"/>
                <w:sz w:val="16"/>
                <w:szCs w:val="16"/>
              </w:rPr>
            </w:pPr>
            <w:r w:rsidRPr="00D33E23">
              <w:rPr>
                <w:color w:val="000000" w:themeColor="text1"/>
                <w:sz w:val="16"/>
                <w:szCs w:val="16"/>
              </w:rPr>
              <w:t>-</w:t>
            </w:r>
          </w:p>
        </w:tc>
        <w:tc>
          <w:tcPr>
            <w:tcW w:w="1035" w:type="dxa"/>
            <w:tcBorders>
              <w:bottom w:val="single" w:sz="4" w:space="0" w:color="auto"/>
              <w:right w:val="single" w:sz="4" w:space="0" w:color="auto"/>
            </w:tcBorders>
            <w:shd w:val="clear" w:color="auto" w:fill="auto"/>
          </w:tcPr>
          <w:p w14:paraId="5051EC97" w14:textId="77777777" w:rsidR="00EC6AB5" w:rsidRPr="00D33E23" w:rsidRDefault="00EC6AB5" w:rsidP="00EC6AB5">
            <w:pPr>
              <w:jc w:val="right"/>
              <w:rPr>
                <w:b/>
                <w:bCs/>
                <w:color w:val="000000" w:themeColor="text1"/>
                <w:sz w:val="16"/>
                <w:szCs w:val="16"/>
              </w:rPr>
            </w:pPr>
            <w:r w:rsidRPr="00D33E23">
              <w:rPr>
                <w:b/>
                <w:bCs/>
                <w:color w:val="000000" w:themeColor="text1"/>
                <w:sz w:val="16"/>
                <w:szCs w:val="16"/>
              </w:rPr>
              <w:t>(541)</w:t>
            </w:r>
          </w:p>
        </w:tc>
        <w:tc>
          <w:tcPr>
            <w:tcW w:w="1093" w:type="dxa"/>
            <w:tcBorders>
              <w:left w:val="single" w:sz="4" w:space="0" w:color="auto"/>
              <w:bottom w:val="single" w:sz="4" w:space="0" w:color="auto"/>
            </w:tcBorders>
          </w:tcPr>
          <w:p w14:paraId="71EE314C" w14:textId="77777777" w:rsidR="00EC6AB5" w:rsidRPr="0008425B" w:rsidRDefault="00EC6AB5" w:rsidP="00EC6AB5">
            <w:pPr>
              <w:jc w:val="right"/>
              <w:rPr>
                <w:sz w:val="16"/>
                <w:szCs w:val="16"/>
              </w:rPr>
            </w:pPr>
            <w:r w:rsidRPr="0008425B">
              <w:rPr>
                <w:sz w:val="16"/>
                <w:szCs w:val="16"/>
              </w:rPr>
              <w:t>(430)</w:t>
            </w:r>
          </w:p>
        </w:tc>
        <w:tc>
          <w:tcPr>
            <w:tcW w:w="1141" w:type="dxa"/>
            <w:tcBorders>
              <w:bottom w:val="single" w:sz="4" w:space="0" w:color="auto"/>
            </w:tcBorders>
          </w:tcPr>
          <w:p w14:paraId="59E625A5" w14:textId="77777777" w:rsidR="00EC6AB5" w:rsidRPr="0008425B" w:rsidRDefault="00EC6AB5" w:rsidP="00EC6AB5">
            <w:pPr>
              <w:jc w:val="right"/>
              <w:rPr>
                <w:sz w:val="16"/>
                <w:szCs w:val="16"/>
              </w:rPr>
            </w:pPr>
            <w:r w:rsidRPr="0008425B">
              <w:rPr>
                <w:sz w:val="16"/>
                <w:szCs w:val="16"/>
              </w:rPr>
              <w:t>-</w:t>
            </w:r>
          </w:p>
        </w:tc>
        <w:tc>
          <w:tcPr>
            <w:tcW w:w="1035" w:type="dxa"/>
            <w:tcBorders>
              <w:bottom w:val="single" w:sz="4" w:space="0" w:color="auto"/>
            </w:tcBorders>
          </w:tcPr>
          <w:p w14:paraId="6D3F20A7" w14:textId="77777777" w:rsidR="00EC6AB5" w:rsidRPr="0008425B" w:rsidRDefault="00EC6AB5" w:rsidP="00EC6AB5">
            <w:pPr>
              <w:jc w:val="right"/>
              <w:rPr>
                <w:sz w:val="16"/>
                <w:szCs w:val="16"/>
              </w:rPr>
            </w:pPr>
            <w:r w:rsidRPr="0008425B">
              <w:rPr>
                <w:sz w:val="16"/>
                <w:szCs w:val="16"/>
              </w:rPr>
              <w:t>(430)</w:t>
            </w:r>
          </w:p>
        </w:tc>
      </w:tr>
      <w:tr w:rsidR="00EC6AB5" w:rsidRPr="007F4514" w14:paraId="731D3ABF" w14:textId="77777777" w:rsidTr="00EC6AB5">
        <w:trPr>
          <w:trHeight w:val="284"/>
        </w:trPr>
        <w:tc>
          <w:tcPr>
            <w:tcW w:w="4045" w:type="dxa"/>
            <w:tcBorders>
              <w:top w:val="single" w:sz="4" w:space="0" w:color="auto"/>
              <w:bottom w:val="single" w:sz="4" w:space="0" w:color="auto"/>
            </w:tcBorders>
          </w:tcPr>
          <w:p w14:paraId="5A60D561" w14:textId="77777777" w:rsidR="00EC6AB5" w:rsidRPr="00A50361" w:rsidRDefault="00EC6AB5" w:rsidP="00EC6AB5">
            <w:pPr>
              <w:rPr>
                <w:b/>
                <w:bCs/>
                <w:color w:val="000000" w:themeColor="text1"/>
                <w:sz w:val="18"/>
                <w:szCs w:val="18"/>
              </w:rPr>
            </w:pPr>
            <w:r w:rsidRPr="00A50361">
              <w:rPr>
                <w:b/>
                <w:bCs/>
                <w:color w:val="000000" w:themeColor="text1"/>
                <w:sz w:val="18"/>
                <w:szCs w:val="18"/>
              </w:rPr>
              <w:t>Net cash from operating activities</w:t>
            </w:r>
          </w:p>
        </w:tc>
        <w:tc>
          <w:tcPr>
            <w:tcW w:w="1093" w:type="dxa"/>
            <w:tcBorders>
              <w:top w:val="single" w:sz="4" w:space="0" w:color="auto"/>
              <w:bottom w:val="single" w:sz="4" w:space="0" w:color="auto"/>
            </w:tcBorders>
            <w:shd w:val="clear" w:color="auto" w:fill="auto"/>
          </w:tcPr>
          <w:p w14:paraId="66F97706" w14:textId="77777777" w:rsidR="00EC6AB5" w:rsidRPr="00D33E23" w:rsidRDefault="00EC6AB5" w:rsidP="00EC6AB5">
            <w:pPr>
              <w:jc w:val="right"/>
              <w:rPr>
                <w:b/>
                <w:bCs/>
                <w:color w:val="000000" w:themeColor="text1"/>
                <w:sz w:val="16"/>
                <w:szCs w:val="16"/>
              </w:rPr>
            </w:pPr>
            <w:r>
              <w:rPr>
                <w:b/>
                <w:bCs/>
                <w:color w:val="000000" w:themeColor="text1"/>
                <w:sz w:val="16"/>
                <w:szCs w:val="16"/>
              </w:rPr>
              <w:t>2,755</w:t>
            </w:r>
          </w:p>
        </w:tc>
        <w:tc>
          <w:tcPr>
            <w:tcW w:w="1141" w:type="dxa"/>
            <w:tcBorders>
              <w:top w:val="single" w:sz="4" w:space="0" w:color="auto"/>
              <w:bottom w:val="single" w:sz="4" w:space="0" w:color="auto"/>
            </w:tcBorders>
            <w:shd w:val="clear" w:color="auto" w:fill="auto"/>
          </w:tcPr>
          <w:p w14:paraId="0B581BC4" w14:textId="77777777" w:rsidR="00EC6AB5" w:rsidRPr="00D33E23" w:rsidRDefault="00EC6AB5" w:rsidP="00EC6AB5">
            <w:pPr>
              <w:jc w:val="right"/>
              <w:rPr>
                <w:b/>
                <w:bCs/>
                <w:color w:val="000000" w:themeColor="text1"/>
                <w:sz w:val="16"/>
                <w:szCs w:val="16"/>
              </w:rPr>
            </w:pPr>
            <w:r w:rsidRPr="00D33E23">
              <w:rPr>
                <w:b/>
                <w:bCs/>
                <w:color w:val="000000" w:themeColor="text1"/>
                <w:sz w:val="16"/>
                <w:szCs w:val="16"/>
              </w:rPr>
              <w:t>(</w:t>
            </w:r>
            <w:r>
              <w:rPr>
                <w:b/>
                <w:bCs/>
                <w:color w:val="000000" w:themeColor="text1"/>
                <w:sz w:val="16"/>
                <w:szCs w:val="16"/>
              </w:rPr>
              <w:t>342</w:t>
            </w:r>
            <w:r w:rsidRPr="00D33E23">
              <w:rPr>
                <w:b/>
                <w:bCs/>
                <w:color w:val="000000" w:themeColor="text1"/>
                <w:sz w:val="16"/>
                <w:szCs w:val="16"/>
              </w:rPr>
              <w:t>)</w:t>
            </w:r>
          </w:p>
        </w:tc>
        <w:tc>
          <w:tcPr>
            <w:tcW w:w="1035" w:type="dxa"/>
            <w:tcBorders>
              <w:top w:val="single" w:sz="4" w:space="0" w:color="auto"/>
              <w:bottom w:val="single" w:sz="4" w:space="0" w:color="auto"/>
              <w:right w:val="single" w:sz="4" w:space="0" w:color="auto"/>
            </w:tcBorders>
            <w:shd w:val="clear" w:color="auto" w:fill="auto"/>
          </w:tcPr>
          <w:p w14:paraId="4E2DE7F9" w14:textId="77777777" w:rsidR="00EC6AB5" w:rsidRPr="00D33E23" w:rsidRDefault="00EC6AB5" w:rsidP="00EC6AB5">
            <w:pPr>
              <w:jc w:val="right"/>
              <w:rPr>
                <w:b/>
                <w:bCs/>
                <w:color w:val="000000" w:themeColor="text1"/>
                <w:sz w:val="16"/>
                <w:szCs w:val="16"/>
              </w:rPr>
            </w:pPr>
            <w:r>
              <w:rPr>
                <w:b/>
                <w:bCs/>
                <w:color w:val="000000" w:themeColor="text1"/>
                <w:sz w:val="16"/>
                <w:szCs w:val="16"/>
              </w:rPr>
              <w:t>2,433</w:t>
            </w:r>
          </w:p>
        </w:tc>
        <w:tc>
          <w:tcPr>
            <w:tcW w:w="1093" w:type="dxa"/>
            <w:tcBorders>
              <w:top w:val="single" w:sz="4" w:space="0" w:color="auto"/>
              <w:left w:val="single" w:sz="4" w:space="0" w:color="auto"/>
              <w:bottom w:val="single" w:sz="4" w:space="0" w:color="auto"/>
            </w:tcBorders>
          </w:tcPr>
          <w:p w14:paraId="52291705" w14:textId="77777777" w:rsidR="00EC6AB5" w:rsidRPr="0008425B" w:rsidRDefault="00EC6AB5" w:rsidP="00EC6AB5">
            <w:pPr>
              <w:jc w:val="right"/>
              <w:rPr>
                <w:sz w:val="16"/>
                <w:szCs w:val="16"/>
              </w:rPr>
            </w:pPr>
            <w:r w:rsidRPr="0008425B">
              <w:rPr>
                <w:sz w:val="16"/>
                <w:szCs w:val="16"/>
              </w:rPr>
              <w:t>(3,674)</w:t>
            </w:r>
          </w:p>
        </w:tc>
        <w:tc>
          <w:tcPr>
            <w:tcW w:w="1141" w:type="dxa"/>
            <w:tcBorders>
              <w:top w:val="single" w:sz="4" w:space="0" w:color="auto"/>
              <w:bottom w:val="single" w:sz="4" w:space="0" w:color="auto"/>
            </w:tcBorders>
          </w:tcPr>
          <w:p w14:paraId="0D64F34F" w14:textId="77777777" w:rsidR="00EC6AB5" w:rsidRPr="0008425B" w:rsidRDefault="00EC6AB5" w:rsidP="00EC6AB5">
            <w:pPr>
              <w:jc w:val="right"/>
              <w:rPr>
                <w:sz w:val="16"/>
                <w:szCs w:val="16"/>
              </w:rPr>
            </w:pPr>
            <w:r w:rsidRPr="0008425B">
              <w:rPr>
                <w:sz w:val="16"/>
                <w:szCs w:val="16"/>
              </w:rPr>
              <w:t>57</w:t>
            </w:r>
          </w:p>
        </w:tc>
        <w:tc>
          <w:tcPr>
            <w:tcW w:w="1035" w:type="dxa"/>
            <w:tcBorders>
              <w:top w:val="single" w:sz="4" w:space="0" w:color="auto"/>
              <w:bottom w:val="single" w:sz="4" w:space="0" w:color="auto"/>
            </w:tcBorders>
          </w:tcPr>
          <w:p w14:paraId="74D6E507" w14:textId="77777777" w:rsidR="00EC6AB5" w:rsidRPr="0008425B" w:rsidRDefault="00EC6AB5" w:rsidP="00EC6AB5">
            <w:pPr>
              <w:jc w:val="right"/>
              <w:rPr>
                <w:sz w:val="16"/>
                <w:szCs w:val="16"/>
              </w:rPr>
            </w:pPr>
            <w:r w:rsidRPr="0008425B">
              <w:rPr>
                <w:sz w:val="16"/>
                <w:szCs w:val="16"/>
              </w:rPr>
              <w:t>(3,617)</w:t>
            </w:r>
          </w:p>
        </w:tc>
      </w:tr>
      <w:tr w:rsidR="00EC6AB5" w:rsidRPr="007F4514" w14:paraId="069882A5" w14:textId="77777777" w:rsidTr="00EC6AB5">
        <w:trPr>
          <w:trHeight w:val="284"/>
        </w:trPr>
        <w:tc>
          <w:tcPr>
            <w:tcW w:w="4045" w:type="dxa"/>
            <w:tcBorders>
              <w:top w:val="single" w:sz="4" w:space="0" w:color="auto"/>
            </w:tcBorders>
          </w:tcPr>
          <w:p w14:paraId="43639F4F" w14:textId="77777777" w:rsidR="00EC6AB5" w:rsidRPr="00A50361" w:rsidRDefault="00EC6AB5" w:rsidP="00EC6AB5">
            <w:pPr>
              <w:rPr>
                <w:b/>
                <w:bCs/>
                <w:color w:val="000000" w:themeColor="text1"/>
                <w:sz w:val="18"/>
                <w:szCs w:val="18"/>
              </w:rPr>
            </w:pPr>
          </w:p>
        </w:tc>
        <w:tc>
          <w:tcPr>
            <w:tcW w:w="1093" w:type="dxa"/>
            <w:tcBorders>
              <w:top w:val="single" w:sz="4" w:space="0" w:color="auto"/>
            </w:tcBorders>
            <w:shd w:val="clear" w:color="auto" w:fill="auto"/>
          </w:tcPr>
          <w:p w14:paraId="30C669FC" w14:textId="77777777" w:rsidR="00EC6AB5" w:rsidRPr="00D33E23" w:rsidRDefault="00EC6AB5" w:rsidP="00EC6AB5">
            <w:pPr>
              <w:jc w:val="right"/>
              <w:rPr>
                <w:color w:val="FF0000"/>
                <w:sz w:val="16"/>
                <w:szCs w:val="16"/>
              </w:rPr>
            </w:pPr>
          </w:p>
        </w:tc>
        <w:tc>
          <w:tcPr>
            <w:tcW w:w="1141" w:type="dxa"/>
            <w:tcBorders>
              <w:top w:val="single" w:sz="4" w:space="0" w:color="auto"/>
            </w:tcBorders>
            <w:shd w:val="clear" w:color="auto" w:fill="auto"/>
          </w:tcPr>
          <w:p w14:paraId="46DCA3F7" w14:textId="77777777" w:rsidR="00EC6AB5" w:rsidRPr="00D33E23" w:rsidRDefault="00EC6AB5" w:rsidP="00EC6AB5">
            <w:pPr>
              <w:jc w:val="right"/>
              <w:rPr>
                <w:color w:val="FF0000"/>
                <w:sz w:val="16"/>
                <w:szCs w:val="16"/>
              </w:rPr>
            </w:pPr>
          </w:p>
        </w:tc>
        <w:tc>
          <w:tcPr>
            <w:tcW w:w="1035" w:type="dxa"/>
            <w:tcBorders>
              <w:top w:val="single" w:sz="4" w:space="0" w:color="auto"/>
              <w:right w:val="single" w:sz="4" w:space="0" w:color="auto"/>
            </w:tcBorders>
            <w:shd w:val="clear" w:color="auto" w:fill="auto"/>
          </w:tcPr>
          <w:p w14:paraId="198B1625" w14:textId="77777777" w:rsidR="00EC6AB5" w:rsidRPr="00D33E23" w:rsidRDefault="00EC6AB5" w:rsidP="00EC6AB5">
            <w:pPr>
              <w:jc w:val="right"/>
              <w:rPr>
                <w:b/>
                <w:bCs/>
                <w:color w:val="FF0000"/>
                <w:sz w:val="16"/>
                <w:szCs w:val="16"/>
              </w:rPr>
            </w:pPr>
          </w:p>
        </w:tc>
        <w:tc>
          <w:tcPr>
            <w:tcW w:w="1093" w:type="dxa"/>
            <w:tcBorders>
              <w:top w:val="single" w:sz="4" w:space="0" w:color="auto"/>
              <w:left w:val="single" w:sz="4" w:space="0" w:color="auto"/>
            </w:tcBorders>
          </w:tcPr>
          <w:p w14:paraId="07DD5400" w14:textId="77777777" w:rsidR="00EC6AB5" w:rsidRPr="0008425B" w:rsidRDefault="00EC6AB5" w:rsidP="00EC6AB5">
            <w:pPr>
              <w:jc w:val="right"/>
              <w:rPr>
                <w:color w:val="FF0000"/>
                <w:sz w:val="16"/>
                <w:szCs w:val="16"/>
              </w:rPr>
            </w:pPr>
          </w:p>
        </w:tc>
        <w:tc>
          <w:tcPr>
            <w:tcW w:w="1141" w:type="dxa"/>
            <w:tcBorders>
              <w:top w:val="single" w:sz="4" w:space="0" w:color="auto"/>
            </w:tcBorders>
          </w:tcPr>
          <w:p w14:paraId="50EC2D36" w14:textId="77777777" w:rsidR="00EC6AB5" w:rsidRPr="0008425B" w:rsidRDefault="00EC6AB5" w:rsidP="00EC6AB5">
            <w:pPr>
              <w:jc w:val="right"/>
              <w:rPr>
                <w:color w:val="FF0000"/>
                <w:sz w:val="16"/>
                <w:szCs w:val="16"/>
              </w:rPr>
            </w:pPr>
          </w:p>
        </w:tc>
        <w:tc>
          <w:tcPr>
            <w:tcW w:w="1035" w:type="dxa"/>
            <w:tcBorders>
              <w:top w:val="single" w:sz="4" w:space="0" w:color="auto"/>
            </w:tcBorders>
          </w:tcPr>
          <w:p w14:paraId="0F8F46B7" w14:textId="77777777" w:rsidR="00EC6AB5" w:rsidRPr="0008425B" w:rsidRDefault="00EC6AB5" w:rsidP="00EC6AB5">
            <w:pPr>
              <w:jc w:val="right"/>
              <w:rPr>
                <w:color w:val="FF0000"/>
                <w:sz w:val="16"/>
                <w:szCs w:val="16"/>
              </w:rPr>
            </w:pPr>
          </w:p>
        </w:tc>
      </w:tr>
      <w:tr w:rsidR="00EC6AB5" w:rsidRPr="007F4514" w14:paraId="4F13554C" w14:textId="77777777" w:rsidTr="00EC6AB5">
        <w:trPr>
          <w:trHeight w:val="284"/>
        </w:trPr>
        <w:tc>
          <w:tcPr>
            <w:tcW w:w="4045" w:type="dxa"/>
          </w:tcPr>
          <w:p w14:paraId="23D8B535" w14:textId="77777777" w:rsidR="00EC6AB5" w:rsidRPr="00FE7292" w:rsidRDefault="00EC6AB5" w:rsidP="00EC6AB5">
            <w:pPr>
              <w:rPr>
                <w:b/>
                <w:bCs/>
                <w:color w:val="000000" w:themeColor="text1"/>
                <w:sz w:val="18"/>
                <w:szCs w:val="18"/>
              </w:rPr>
            </w:pPr>
            <w:r w:rsidRPr="00FE7292">
              <w:rPr>
                <w:b/>
                <w:bCs/>
                <w:sz w:val="18"/>
                <w:szCs w:val="18"/>
              </w:rPr>
              <w:t>Cash flows from investing activities</w:t>
            </w:r>
          </w:p>
        </w:tc>
        <w:tc>
          <w:tcPr>
            <w:tcW w:w="1093" w:type="dxa"/>
            <w:shd w:val="clear" w:color="auto" w:fill="auto"/>
          </w:tcPr>
          <w:p w14:paraId="30FB1AC5" w14:textId="77777777" w:rsidR="00EC6AB5" w:rsidRPr="00D33E23" w:rsidRDefault="00EC6AB5" w:rsidP="00EC6AB5">
            <w:pPr>
              <w:jc w:val="right"/>
              <w:rPr>
                <w:color w:val="FF0000"/>
                <w:sz w:val="16"/>
                <w:szCs w:val="16"/>
              </w:rPr>
            </w:pPr>
          </w:p>
        </w:tc>
        <w:tc>
          <w:tcPr>
            <w:tcW w:w="1141" w:type="dxa"/>
            <w:shd w:val="clear" w:color="auto" w:fill="auto"/>
          </w:tcPr>
          <w:p w14:paraId="2C3EBE00" w14:textId="77777777" w:rsidR="00EC6AB5" w:rsidRPr="00D33E23" w:rsidRDefault="00EC6AB5" w:rsidP="00EC6AB5">
            <w:pPr>
              <w:jc w:val="right"/>
              <w:rPr>
                <w:color w:val="FF0000"/>
                <w:sz w:val="16"/>
                <w:szCs w:val="16"/>
              </w:rPr>
            </w:pPr>
          </w:p>
        </w:tc>
        <w:tc>
          <w:tcPr>
            <w:tcW w:w="1035" w:type="dxa"/>
            <w:tcBorders>
              <w:right w:val="single" w:sz="4" w:space="0" w:color="auto"/>
            </w:tcBorders>
            <w:shd w:val="clear" w:color="auto" w:fill="auto"/>
          </w:tcPr>
          <w:p w14:paraId="7E0BD5F2" w14:textId="77777777" w:rsidR="00EC6AB5" w:rsidRPr="00D33E23" w:rsidRDefault="00EC6AB5" w:rsidP="00EC6AB5">
            <w:pPr>
              <w:jc w:val="right"/>
              <w:rPr>
                <w:b/>
                <w:bCs/>
                <w:color w:val="FF0000"/>
                <w:sz w:val="16"/>
                <w:szCs w:val="16"/>
              </w:rPr>
            </w:pPr>
          </w:p>
        </w:tc>
        <w:tc>
          <w:tcPr>
            <w:tcW w:w="1093" w:type="dxa"/>
            <w:tcBorders>
              <w:left w:val="single" w:sz="4" w:space="0" w:color="auto"/>
            </w:tcBorders>
          </w:tcPr>
          <w:p w14:paraId="271B9DDA" w14:textId="77777777" w:rsidR="00EC6AB5" w:rsidRPr="0008425B" w:rsidRDefault="00EC6AB5" w:rsidP="00EC6AB5">
            <w:pPr>
              <w:jc w:val="right"/>
              <w:rPr>
                <w:color w:val="FF0000"/>
                <w:sz w:val="16"/>
                <w:szCs w:val="16"/>
              </w:rPr>
            </w:pPr>
          </w:p>
        </w:tc>
        <w:tc>
          <w:tcPr>
            <w:tcW w:w="1141" w:type="dxa"/>
          </w:tcPr>
          <w:p w14:paraId="69836E43" w14:textId="77777777" w:rsidR="00EC6AB5" w:rsidRPr="0008425B" w:rsidRDefault="00EC6AB5" w:rsidP="00EC6AB5">
            <w:pPr>
              <w:jc w:val="right"/>
              <w:rPr>
                <w:color w:val="FF0000"/>
                <w:sz w:val="16"/>
                <w:szCs w:val="16"/>
              </w:rPr>
            </w:pPr>
          </w:p>
        </w:tc>
        <w:tc>
          <w:tcPr>
            <w:tcW w:w="1035" w:type="dxa"/>
          </w:tcPr>
          <w:p w14:paraId="7229F7C6" w14:textId="77777777" w:rsidR="00EC6AB5" w:rsidRPr="0008425B" w:rsidRDefault="00EC6AB5" w:rsidP="00EC6AB5">
            <w:pPr>
              <w:jc w:val="right"/>
              <w:rPr>
                <w:color w:val="FF0000"/>
                <w:sz w:val="16"/>
                <w:szCs w:val="16"/>
              </w:rPr>
            </w:pPr>
          </w:p>
        </w:tc>
      </w:tr>
      <w:tr w:rsidR="00EC6AB5" w:rsidRPr="007F4514" w14:paraId="6B033C5B" w14:textId="77777777" w:rsidTr="00EC6AB5">
        <w:trPr>
          <w:trHeight w:val="284"/>
        </w:trPr>
        <w:tc>
          <w:tcPr>
            <w:tcW w:w="4045" w:type="dxa"/>
          </w:tcPr>
          <w:p w14:paraId="33BC33E1" w14:textId="77777777" w:rsidR="00EC6AB5" w:rsidRPr="007F4514" w:rsidRDefault="00EC6AB5" w:rsidP="00EC6AB5">
            <w:pPr>
              <w:rPr>
                <w:b/>
                <w:bCs/>
                <w:color w:val="FF0000"/>
                <w:sz w:val="16"/>
                <w:szCs w:val="16"/>
              </w:rPr>
            </w:pPr>
            <w:r w:rsidRPr="00FF4B64">
              <w:rPr>
                <w:sz w:val="16"/>
                <w:szCs w:val="16"/>
              </w:rPr>
              <w:t>Purchase of software, property, plant &amp; equipment</w:t>
            </w:r>
          </w:p>
        </w:tc>
        <w:tc>
          <w:tcPr>
            <w:tcW w:w="1093" w:type="dxa"/>
            <w:shd w:val="clear" w:color="auto" w:fill="auto"/>
          </w:tcPr>
          <w:p w14:paraId="007AA8E7" w14:textId="77777777" w:rsidR="00EC6AB5" w:rsidRPr="00D33E23" w:rsidRDefault="00EC6AB5" w:rsidP="00EC6AB5">
            <w:pPr>
              <w:jc w:val="right"/>
              <w:rPr>
                <w:sz w:val="16"/>
                <w:szCs w:val="16"/>
              </w:rPr>
            </w:pPr>
            <w:r w:rsidRPr="00D33E23">
              <w:rPr>
                <w:sz w:val="16"/>
                <w:szCs w:val="16"/>
              </w:rPr>
              <w:t>(</w:t>
            </w:r>
            <w:r>
              <w:rPr>
                <w:sz w:val="16"/>
                <w:szCs w:val="16"/>
              </w:rPr>
              <w:t>129</w:t>
            </w:r>
            <w:r w:rsidRPr="00D33E23">
              <w:rPr>
                <w:sz w:val="16"/>
                <w:szCs w:val="16"/>
              </w:rPr>
              <w:t>)</w:t>
            </w:r>
          </w:p>
        </w:tc>
        <w:tc>
          <w:tcPr>
            <w:tcW w:w="1141" w:type="dxa"/>
            <w:shd w:val="clear" w:color="auto" w:fill="auto"/>
          </w:tcPr>
          <w:p w14:paraId="7CAE45D6" w14:textId="77777777" w:rsidR="00EC6AB5" w:rsidRPr="00D33E23" w:rsidRDefault="00EC6AB5" w:rsidP="00EC6AB5">
            <w:pPr>
              <w:jc w:val="right"/>
              <w:rPr>
                <w:sz w:val="16"/>
                <w:szCs w:val="16"/>
              </w:rPr>
            </w:pPr>
            <w:r w:rsidRPr="00D33E23">
              <w:rPr>
                <w:sz w:val="16"/>
                <w:szCs w:val="16"/>
              </w:rPr>
              <w:t>-</w:t>
            </w:r>
          </w:p>
        </w:tc>
        <w:tc>
          <w:tcPr>
            <w:tcW w:w="1035" w:type="dxa"/>
            <w:tcBorders>
              <w:right w:val="single" w:sz="4" w:space="0" w:color="auto"/>
            </w:tcBorders>
            <w:shd w:val="clear" w:color="auto" w:fill="auto"/>
          </w:tcPr>
          <w:p w14:paraId="44BA0B1E" w14:textId="77777777" w:rsidR="00EC6AB5" w:rsidRPr="00D33E23" w:rsidRDefault="00EC6AB5" w:rsidP="00EC6AB5">
            <w:pPr>
              <w:jc w:val="right"/>
              <w:rPr>
                <w:b/>
                <w:bCs/>
                <w:sz w:val="16"/>
                <w:szCs w:val="16"/>
              </w:rPr>
            </w:pPr>
            <w:r w:rsidRPr="00D33E23">
              <w:rPr>
                <w:sz w:val="16"/>
                <w:szCs w:val="16"/>
              </w:rPr>
              <w:t>(</w:t>
            </w:r>
            <w:r>
              <w:rPr>
                <w:sz w:val="16"/>
                <w:szCs w:val="16"/>
              </w:rPr>
              <w:t>129</w:t>
            </w:r>
            <w:r w:rsidRPr="00D33E23">
              <w:rPr>
                <w:sz w:val="16"/>
                <w:szCs w:val="16"/>
              </w:rPr>
              <w:t>)</w:t>
            </w:r>
          </w:p>
        </w:tc>
        <w:tc>
          <w:tcPr>
            <w:tcW w:w="1093" w:type="dxa"/>
            <w:tcBorders>
              <w:left w:val="single" w:sz="4" w:space="0" w:color="auto"/>
            </w:tcBorders>
          </w:tcPr>
          <w:p w14:paraId="30496454" w14:textId="77777777" w:rsidR="00EC6AB5" w:rsidRPr="0008425B" w:rsidRDefault="00EC6AB5" w:rsidP="00EC6AB5">
            <w:pPr>
              <w:jc w:val="right"/>
              <w:rPr>
                <w:sz w:val="16"/>
                <w:szCs w:val="16"/>
              </w:rPr>
            </w:pPr>
            <w:r w:rsidRPr="0008425B">
              <w:rPr>
                <w:sz w:val="16"/>
                <w:szCs w:val="16"/>
              </w:rPr>
              <w:t>(149)</w:t>
            </w:r>
          </w:p>
        </w:tc>
        <w:tc>
          <w:tcPr>
            <w:tcW w:w="1141" w:type="dxa"/>
          </w:tcPr>
          <w:p w14:paraId="0A9AA99C" w14:textId="77777777" w:rsidR="00EC6AB5" w:rsidRPr="0008425B" w:rsidRDefault="00EC6AB5" w:rsidP="00EC6AB5">
            <w:pPr>
              <w:jc w:val="right"/>
              <w:rPr>
                <w:sz w:val="16"/>
                <w:szCs w:val="16"/>
              </w:rPr>
            </w:pPr>
            <w:r w:rsidRPr="0008425B">
              <w:rPr>
                <w:sz w:val="16"/>
                <w:szCs w:val="16"/>
              </w:rPr>
              <w:t>(5)</w:t>
            </w:r>
          </w:p>
        </w:tc>
        <w:tc>
          <w:tcPr>
            <w:tcW w:w="1035" w:type="dxa"/>
          </w:tcPr>
          <w:p w14:paraId="6A6976E6" w14:textId="77777777" w:rsidR="00EC6AB5" w:rsidRPr="0008425B" w:rsidRDefault="00EC6AB5" w:rsidP="00EC6AB5">
            <w:pPr>
              <w:jc w:val="right"/>
              <w:rPr>
                <w:sz w:val="16"/>
                <w:szCs w:val="16"/>
              </w:rPr>
            </w:pPr>
            <w:r w:rsidRPr="0008425B">
              <w:rPr>
                <w:sz w:val="16"/>
                <w:szCs w:val="16"/>
              </w:rPr>
              <w:t>(154)</w:t>
            </w:r>
          </w:p>
        </w:tc>
      </w:tr>
      <w:tr w:rsidR="00EC6AB5" w:rsidRPr="007F4514" w14:paraId="758FF729" w14:textId="77777777" w:rsidTr="00EC6AB5">
        <w:trPr>
          <w:trHeight w:val="284"/>
        </w:trPr>
        <w:tc>
          <w:tcPr>
            <w:tcW w:w="4045" w:type="dxa"/>
            <w:tcBorders>
              <w:bottom w:val="single" w:sz="4" w:space="0" w:color="auto"/>
            </w:tcBorders>
          </w:tcPr>
          <w:p w14:paraId="762F50FD" w14:textId="77777777" w:rsidR="00EC6AB5" w:rsidRPr="00FF4B64" w:rsidRDefault="00EC6AB5" w:rsidP="00EC6AB5">
            <w:pPr>
              <w:rPr>
                <w:sz w:val="16"/>
                <w:szCs w:val="16"/>
              </w:rPr>
            </w:pPr>
            <w:r w:rsidRPr="00FF4B64">
              <w:rPr>
                <w:sz w:val="16"/>
                <w:szCs w:val="16"/>
              </w:rPr>
              <w:t>Interest received</w:t>
            </w:r>
          </w:p>
        </w:tc>
        <w:tc>
          <w:tcPr>
            <w:tcW w:w="1093" w:type="dxa"/>
            <w:tcBorders>
              <w:bottom w:val="single" w:sz="4" w:space="0" w:color="auto"/>
            </w:tcBorders>
            <w:shd w:val="clear" w:color="auto" w:fill="auto"/>
          </w:tcPr>
          <w:p w14:paraId="71182398" w14:textId="77777777" w:rsidR="00EC6AB5" w:rsidRPr="00D33E23" w:rsidRDefault="00EC6AB5" w:rsidP="00EC6AB5">
            <w:pPr>
              <w:jc w:val="right"/>
              <w:rPr>
                <w:sz w:val="16"/>
                <w:szCs w:val="16"/>
              </w:rPr>
            </w:pPr>
            <w:r w:rsidRPr="00D33E23">
              <w:rPr>
                <w:sz w:val="16"/>
                <w:szCs w:val="16"/>
              </w:rPr>
              <w:t>1</w:t>
            </w:r>
          </w:p>
        </w:tc>
        <w:tc>
          <w:tcPr>
            <w:tcW w:w="1141" w:type="dxa"/>
            <w:tcBorders>
              <w:bottom w:val="single" w:sz="4" w:space="0" w:color="auto"/>
            </w:tcBorders>
            <w:shd w:val="clear" w:color="auto" w:fill="auto"/>
          </w:tcPr>
          <w:p w14:paraId="461A77C1" w14:textId="77777777" w:rsidR="00EC6AB5" w:rsidRPr="00D33E23" w:rsidRDefault="00EC6AB5" w:rsidP="00EC6AB5">
            <w:pPr>
              <w:jc w:val="right"/>
              <w:rPr>
                <w:sz w:val="16"/>
                <w:szCs w:val="16"/>
              </w:rPr>
            </w:pPr>
            <w:r w:rsidRPr="00D33E23">
              <w:rPr>
                <w:sz w:val="16"/>
                <w:szCs w:val="16"/>
              </w:rPr>
              <w:t>-</w:t>
            </w:r>
          </w:p>
        </w:tc>
        <w:tc>
          <w:tcPr>
            <w:tcW w:w="1035" w:type="dxa"/>
            <w:tcBorders>
              <w:bottom w:val="single" w:sz="4" w:space="0" w:color="auto"/>
              <w:right w:val="single" w:sz="4" w:space="0" w:color="auto"/>
            </w:tcBorders>
            <w:shd w:val="clear" w:color="auto" w:fill="auto"/>
          </w:tcPr>
          <w:p w14:paraId="0070F292" w14:textId="77777777" w:rsidR="00EC6AB5" w:rsidRPr="00D33E23" w:rsidRDefault="00EC6AB5" w:rsidP="00EC6AB5">
            <w:pPr>
              <w:jc w:val="right"/>
              <w:rPr>
                <w:sz w:val="16"/>
                <w:szCs w:val="16"/>
              </w:rPr>
            </w:pPr>
            <w:r w:rsidRPr="00D33E23">
              <w:rPr>
                <w:sz w:val="16"/>
                <w:szCs w:val="16"/>
              </w:rPr>
              <w:t>1</w:t>
            </w:r>
          </w:p>
        </w:tc>
        <w:tc>
          <w:tcPr>
            <w:tcW w:w="1093" w:type="dxa"/>
            <w:tcBorders>
              <w:left w:val="single" w:sz="4" w:space="0" w:color="auto"/>
              <w:bottom w:val="single" w:sz="4" w:space="0" w:color="auto"/>
            </w:tcBorders>
          </w:tcPr>
          <w:p w14:paraId="08167B26" w14:textId="77777777" w:rsidR="00EC6AB5" w:rsidRPr="0008425B" w:rsidRDefault="00EC6AB5" w:rsidP="00EC6AB5">
            <w:pPr>
              <w:jc w:val="right"/>
              <w:rPr>
                <w:sz w:val="16"/>
                <w:szCs w:val="16"/>
              </w:rPr>
            </w:pPr>
            <w:r w:rsidRPr="0008425B">
              <w:rPr>
                <w:sz w:val="16"/>
                <w:szCs w:val="16"/>
              </w:rPr>
              <w:t>1</w:t>
            </w:r>
          </w:p>
        </w:tc>
        <w:tc>
          <w:tcPr>
            <w:tcW w:w="1141" w:type="dxa"/>
            <w:tcBorders>
              <w:bottom w:val="single" w:sz="4" w:space="0" w:color="auto"/>
            </w:tcBorders>
          </w:tcPr>
          <w:p w14:paraId="617F0572" w14:textId="77777777" w:rsidR="00EC6AB5" w:rsidRPr="0008425B" w:rsidRDefault="00EC6AB5" w:rsidP="00EC6AB5">
            <w:pPr>
              <w:jc w:val="right"/>
              <w:rPr>
                <w:sz w:val="16"/>
                <w:szCs w:val="16"/>
              </w:rPr>
            </w:pPr>
            <w:r w:rsidRPr="0008425B">
              <w:rPr>
                <w:sz w:val="16"/>
                <w:szCs w:val="16"/>
              </w:rPr>
              <w:t>-</w:t>
            </w:r>
          </w:p>
        </w:tc>
        <w:tc>
          <w:tcPr>
            <w:tcW w:w="1035" w:type="dxa"/>
            <w:tcBorders>
              <w:bottom w:val="single" w:sz="4" w:space="0" w:color="auto"/>
            </w:tcBorders>
          </w:tcPr>
          <w:p w14:paraId="6100C4EF" w14:textId="77777777" w:rsidR="00EC6AB5" w:rsidRPr="0008425B" w:rsidRDefault="00EC6AB5" w:rsidP="00EC6AB5">
            <w:pPr>
              <w:jc w:val="right"/>
              <w:rPr>
                <w:sz w:val="16"/>
                <w:szCs w:val="16"/>
              </w:rPr>
            </w:pPr>
            <w:r w:rsidRPr="0008425B">
              <w:rPr>
                <w:sz w:val="16"/>
                <w:szCs w:val="16"/>
              </w:rPr>
              <w:t>1</w:t>
            </w:r>
          </w:p>
        </w:tc>
      </w:tr>
      <w:tr w:rsidR="00EC6AB5" w:rsidRPr="007F4514" w14:paraId="0BD13A37" w14:textId="77777777" w:rsidTr="00EC6AB5">
        <w:trPr>
          <w:trHeight w:val="284"/>
        </w:trPr>
        <w:tc>
          <w:tcPr>
            <w:tcW w:w="4045" w:type="dxa"/>
            <w:tcBorders>
              <w:top w:val="single" w:sz="4" w:space="0" w:color="auto"/>
              <w:bottom w:val="single" w:sz="4" w:space="0" w:color="auto"/>
            </w:tcBorders>
          </w:tcPr>
          <w:p w14:paraId="2F09E724" w14:textId="77777777" w:rsidR="00EC6AB5" w:rsidRPr="00FE7292" w:rsidRDefault="00EC6AB5" w:rsidP="00EC6AB5">
            <w:pPr>
              <w:rPr>
                <w:sz w:val="18"/>
                <w:szCs w:val="18"/>
              </w:rPr>
            </w:pPr>
            <w:r w:rsidRPr="00FE7292">
              <w:rPr>
                <w:b/>
                <w:bCs/>
                <w:sz w:val="18"/>
                <w:szCs w:val="18"/>
              </w:rPr>
              <w:t>Net cash from investing activities</w:t>
            </w:r>
          </w:p>
        </w:tc>
        <w:tc>
          <w:tcPr>
            <w:tcW w:w="1093" w:type="dxa"/>
            <w:tcBorders>
              <w:top w:val="single" w:sz="4" w:space="0" w:color="auto"/>
              <w:bottom w:val="single" w:sz="4" w:space="0" w:color="auto"/>
            </w:tcBorders>
            <w:shd w:val="clear" w:color="auto" w:fill="auto"/>
          </w:tcPr>
          <w:p w14:paraId="3C8CB719" w14:textId="77777777" w:rsidR="00EC6AB5" w:rsidRPr="00D33E23" w:rsidRDefault="00EC6AB5" w:rsidP="00EC6AB5">
            <w:pPr>
              <w:jc w:val="right"/>
              <w:rPr>
                <w:sz w:val="16"/>
                <w:szCs w:val="16"/>
              </w:rPr>
            </w:pPr>
            <w:r w:rsidRPr="00D33E23">
              <w:rPr>
                <w:b/>
                <w:bCs/>
                <w:sz w:val="16"/>
                <w:szCs w:val="16"/>
              </w:rPr>
              <w:t>(</w:t>
            </w:r>
            <w:r>
              <w:rPr>
                <w:b/>
                <w:bCs/>
                <w:sz w:val="16"/>
                <w:szCs w:val="16"/>
              </w:rPr>
              <w:t>128</w:t>
            </w:r>
            <w:r w:rsidRPr="00D33E23">
              <w:rPr>
                <w:b/>
                <w:bCs/>
                <w:sz w:val="16"/>
                <w:szCs w:val="16"/>
              </w:rPr>
              <w:t>)</w:t>
            </w:r>
          </w:p>
        </w:tc>
        <w:tc>
          <w:tcPr>
            <w:tcW w:w="1141" w:type="dxa"/>
            <w:tcBorders>
              <w:top w:val="single" w:sz="4" w:space="0" w:color="auto"/>
              <w:bottom w:val="single" w:sz="4" w:space="0" w:color="auto"/>
            </w:tcBorders>
            <w:shd w:val="clear" w:color="auto" w:fill="auto"/>
          </w:tcPr>
          <w:p w14:paraId="7D590109" w14:textId="77777777" w:rsidR="00EC6AB5" w:rsidRPr="00D33E23" w:rsidRDefault="00EC6AB5" w:rsidP="00EC6AB5">
            <w:pPr>
              <w:jc w:val="right"/>
              <w:rPr>
                <w:sz w:val="16"/>
                <w:szCs w:val="16"/>
              </w:rPr>
            </w:pPr>
            <w:r w:rsidRPr="00D33E23">
              <w:rPr>
                <w:sz w:val="16"/>
                <w:szCs w:val="16"/>
              </w:rPr>
              <w:t>-</w:t>
            </w:r>
          </w:p>
        </w:tc>
        <w:tc>
          <w:tcPr>
            <w:tcW w:w="1035" w:type="dxa"/>
            <w:tcBorders>
              <w:top w:val="single" w:sz="4" w:space="0" w:color="auto"/>
              <w:bottom w:val="single" w:sz="4" w:space="0" w:color="auto"/>
              <w:right w:val="single" w:sz="4" w:space="0" w:color="auto"/>
            </w:tcBorders>
            <w:shd w:val="clear" w:color="auto" w:fill="auto"/>
          </w:tcPr>
          <w:p w14:paraId="5A89B6FF" w14:textId="77777777" w:rsidR="00EC6AB5" w:rsidRPr="00D33E23" w:rsidRDefault="00EC6AB5" w:rsidP="00EC6AB5">
            <w:pPr>
              <w:jc w:val="right"/>
              <w:rPr>
                <w:sz w:val="16"/>
                <w:szCs w:val="16"/>
              </w:rPr>
            </w:pPr>
            <w:r w:rsidRPr="00D33E23">
              <w:rPr>
                <w:b/>
                <w:bCs/>
                <w:sz w:val="16"/>
                <w:szCs w:val="16"/>
              </w:rPr>
              <w:t>(</w:t>
            </w:r>
            <w:r>
              <w:rPr>
                <w:b/>
                <w:bCs/>
                <w:sz w:val="16"/>
                <w:szCs w:val="16"/>
              </w:rPr>
              <w:t>128</w:t>
            </w:r>
            <w:r w:rsidRPr="00D33E23">
              <w:rPr>
                <w:b/>
                <w:bCs/>
                <w:sz w:val="16"/>
                <w:szCs w:val="16"/>
              </w:rPr>
              <w:t>)</w:t>
            </w:r>
          </w:p>
        </w:tc>
        <w:tc>
          <w:tcPr>
            <w:tcW w:w="1093" w:type="dxa"/>
            <w:tcBorders>
              <w:top w:val="single" w:sz="4" w:space="0" w:color="auto"/>
              <w:left w:val="single" w:sz="4" w:space="0" w:color="auto"/>
              <w:bottom w:val="single" w:sz="4" w:space="0" w:color="auto"/>
            </w:tcBorders>
          </w:tcPr>
          <w:p w14:paraId="703E30DF" w14:textId="77777777" w:rsidR="00EC6AB5" w:rsidRPr="0008425B" w:rsidRDefault="00EC6AB5" w:rsidP="00EC6AB5">
            <w:pPr>
              <w:jc w:val="right"/>
              <w:rPr>
                <w:sz w:val="16"/>
                <w:szCs w:val="16"/>
              </w:rPr>
            </w:pPr>
            <w:r w:rsidRPr="0008425B">
              <w:rPr>
                <w:sz w:val="16"/>
                <w:szCs w:val="16"/>
              </w:rPr>
              <w:t>(148)</w:t>
            </w:r>
          </w:p>
        </w:tc>
        <w:tc>
          <w:tcPr>
            <w:tcW w:w="1141" w:type="dxa"/>
            <w:tcBorders>
              <w:top w:val="single" w:sz="4" w:space="0" w:color="auto"/>
              <w:bottom w:val="single" w:sz="4" w:space="0" w:color="auto"/>
            </w:tcBorders>
          </w:tcPr>
          <w:p w14:paraId="1CE5CBDB" w14:textId="77777777" w:rsidR="00EC6AB5" w:rsidRPr="0008425B" w:rsidRDefault="00EC6AB5" w:rsidP="00EC6AB5">
            <w:pPr>
              <w:jc w:val="right"/>
              <w:rPr>
                <w:sz w:val="16"/>
                <w:szCs w:val="16"/>
              </w:rPr>
            </w:pPr>
            <w:r w:rsidRPr="0008425B">
              <w:rPr>
                <w:sz w:val="16"/>
                <w:szCs w:val="16"/>
              </w:rPr>
              <w:t>(5)</w:t>
            </w:r>
          </w:p>
        </w:tc>
        <w:tc>
          <w:tcPr>
            <w:tcW w:w="1035" w:type="dxa"/>
            <w:tcBorders>
              <w:top w:val="single" w:sz="4" w:space="0" w:color="auto"/>
              <w:bottom w:val="single" w:sz="4" w:space="0" w:color="auto"/>
            </w:tcBorders>
          </w:tcPr>
          <w:p w14:paraId="36CA5951" w14:textId="77777777" w:rsidR="00EC6AB5" w:rsidRPr="0008425B" w:rsidRDefault="00EC6AB5" w:rsidP="00EC6AB5">
            <w:pPr>
              <w:jc w:val="right"/>
              <w:rPr>
                <w:sz w:val="16"/>
                <w:szCs w:val="16"/>
              </w:rPr>
            </w:pPr>
            <w:r w:rsidRPr="0008425B">
              <w:rPr>
                <w:sz w:val="16"/>
                <w:szCs w:val="16"/>
              </w:rPr>
              <w:t>(153)</w:t>
            </w:r>
          </w:p>
        </w:tc>
      </w:tr>
      <w:tr w:rsidR="00EC6AB5" w:rsidRPr="007F4514" w14:paraId="2453C3FA" w14:textId="77777777" w:rsidTr="00EC6AB5">
        <w:trPr>
          <w:trHeight w:val="284"/>
        </w:trPr>
        <w:tc>
          <w:tcPr>
            <w:tcW w:w="4045" w:type="dxa"/>
            <w:tcBorders>
              <w:top w:val="single" w:sz="4" w:space="0" w:color="auto"/>
            </w:tcBorders>
          </w:tcPr>
          <w:p w14:paraId="74B315E3" w14:textId="77777777" w:rsidR="00EC6AB5" w:rsidRPr="00FF4B64" w:rsidRDefault="00EC6AB5" w:rsidP="00EC6AB5">
            <w:pPr>
              <w:rPr>
                <w:b/>
                <w:bCs/>
                <w:sz w:val="16"/>
                <w:szCs w:val="16"/>
              </w:rPr>
            </w:pPr>
          </w:p>
        </w:tc>
        <w:tc>
          <w:tcPr>
            <w:tcW w:w="1093" w:type="dxa"/>
            <w:tcBorders>
              <w:top w:val="single" w:sz="4" w:space="0" w:color="auto"/>
            </w:tcBorders>
            <w:shd w:val="clear" w:color="auto" w:fill="auto"/>
          </w:tcPr>
          <w:p w14:paraId="74E465D6" w14:textId="77777777" w:rsidR="00EC6AB5" w:rsidRPr="00D33E23" w:rsidRDefault="00EC6AB5" w:rsidP="00EC6AB5">
            <w:pPr>
              <w:jc w:val="right"/>
              <w:rPr>
                <w:b/>
                <w:bCs/>
                <w:color w:val="FF0000"/>
                <w:sz w:val="16"/>
                <w:szCs w:val="16"/>
              </w:rPr>
            </w:pPr>
          </w:p>
        </w:tc>
        <w:tc>
          <w:tcPr>
            <w:tcW w:w="1141" w:type="dxa"/>
            <w:tcBorders>
              <w:top w:val="single" w:sz="4" w:space="0" w:color="auto"/>
            </w:tcBorders>
            <w:shd w:val="clear" w:color="auto" w:fill="auto"/>
          </w:tcPr>
          <w:p w14:paraId="7923C6C3" w14:textId="77777777" w:rsidR="00EC6AB5" w:rsidRPr="00D33E23" w:rsidRDefault="00EC6AB5" w:rsidP="00EC6AB5">
            <w:pPr>
              <w:jc w:val="right"/>
              <w:rPr>
                <w:b/>
                <w:bCs/>
                <w:color w:val="FF0000"/>
                <w:sz w:val="16"/>
                <w:szCs w:val="16"/>
              </w:rPr>
            </w:pPr>
          </w:p>
        </w:tc>
        <w:tc>
          <w:tcPr>
            <w:tcW w:w="1035" w:type="dxa"/>
            <w:tcBorders>
              <w:top w:val="single" w:sz="4" w:space="0" w:color="auto"/>
              <w:right w:val="single" w:sz="4" w:space="0" w:color="auto"/>
            </w:tcBorders>
            <w:shd w:val="clear" w:color="auto" w:fill="auto"/>
          </w:tcPr>
          <w:p w14:paraId="6C8D2923" w14:textId="77777777" w:rsidR="00EC6AB5" w:rsidRPr="00D33E23" w:rsidRDefault="00EC6AB5" w:rsidP="00EC6AB5">
            <w:pPr>
              <w:jc w:val="right"/>
              <w:rPr>
                <w:b/>
                <w:bCs/>
                <w:color w:val="FF0000"/>
                <w:sz w:val="16"/>
                <w:szCs w:val="16"/>
              </w:rPr>
            </w:pPr>
          </w:p>
        </w:tc>
        <w:tc>
          <w:tcPr>
            <w:tcW w:w="1093" w:type="dxa"/>
            <w:tcBorders>
              <w:top w:val="single" w:sz="4" w:space="0" w:color="auto"/>
              <w:left w:val="single" w:sz="4" w:space="0" w:color="auto"/>
            </w:tcBorders>
          </w:tcPr>
          <w:p w14:paraId="7E701F1E" w14:textId="77777777" w:rsidR="00EC6AB5" w:rsidRPr="0008425B" w:rsidRDefault="00EC6AB5" w:rsidP="00EC6AB5">
            <w:pPr>
              <w:jc w:val="right"/>
              <w:rPr>
                <w:sz w:val="16"/>
                <w:szCs w:val="16"/>
              </w:rPr>
            </w:pPr>
          </w:p>
        </w:tc>
        <w:tc>
          <w:tcPr>
            <w:tcW w:w="1141" w:type="dxa"/>
            <w:tcBorders>
              <w:top w:val="single" w:sz="4" w:space="0" w:color="auto"/>
            </w:tcBorders>
          </w:tcPr>
          <w:p w14:paraId="2E66C865" w14:textId="77777777" w:rsidR="00EC6AB5" w:rsidRPr="0008425B" w:rsidRDefault="00EC6AB5" w:rsidP="00EC6AB5">
            <w:pPr>
              <w:jc w:val="right"/>
              <w:rPr>
                <w:sz w:val="16"/>
                <w:szCs w:val="16"/>
              </w:rPr>
            </w:pPr>
          </w:p>
        </w:tc>
        <w:tc>
          <w:tcPr>
            <w:tcW w:w="1035" w:type="dxa"/>
            <w:tcBorders>
              <w:top w:val="single" w:sz="4" w:space="0" w:color="auto"/>
            </w:tcBorders>
          </w:tcPr>
          <w:p w14:paraId="3822A654" w14:textId="77777777" w:rsidR="00EC6AB5" w:rsidRPr="0008425B" w:rsidRDefault="00EC6AB5" w:rsidP="00EC6AB5">
            <w:pPr>
              <w:jc w:val="right"/>
              <w:rPr>
                <w:sz w:val="16"/>
                <w:szCs w:val="16"/>
              </w:rPr>
            </w:pPr>
          </w:p>
        </w:tc>
      </w:tr>
      <w:tr w:rsidR="00EC6AB5" w:rsidRPr="007F4514" w14:paraId="5DE286F7" w14:textId="77777777" w:rsidTr="00EC6AB5">
        <w:trPr>
          <w:trHeight w:val="284"/>
        </w:trPr>
        <w:tc>
          <w:tcPr>
            <w:tcW w:w="4045" w:type="dxa"/>
          </w:tcPr>
          <w:p w14:paraId="3C921108" w14:textId="77777777" w:rsidR="00EC6AB5" w:rsidRPr="00FE7292" w:rsidRDefault="00EC6AB5" w:rsidP="00EC6AB5">
            <w:pPr>
              <w:rPr>
                <w:b/>
                <w:bCs/>
                <w:sz w:val="18"/>
                <w:szCs w:val="18"/>
              </w:rPr>
            </w:pPr>
            <w:r w:rsidRPr="00FE7292">
              <w:rPr>
                <w:b/>
                <w:bCs/>
                <w:sz w:val="18"/>
                <w:szCs w:val="18"/>
              </w:rPr>
              <w:t>Cash flows from financing activities</w:t>
            </w:r>
          </w:p>
        </w:tc>
        <w:tc>
          <w:tcPr>
            <w:tcW w:w="1093" w:type="dxa"/>
            <w:shd w:val="clear" w:color="auto" w:fill="auto"/>
          </w:tcPr>
          <w:p w14:paraId="18E38A96" w14:textId="77777777" w:rsidR="00EC6AB5" w:rsidRPr="00D33E23" w:rsidRDefault="00EC6AB5" w:rsidP="00EC6AB5">
            <w:pPr>
              <w:jc w:val="right"/>
              <w:rPr>
                <w:b/>
                <w:bCs/>
                <w:color w:val="FF0000"/>
                <w:sz w:val="16"/>
                <w:szCs w:val="16"/>
              </w:rPr>
            </w:pPr>
          </w:p>
        </w:tc>
        <w:tc>
          <w:tcPr>
            <w:tcW w:w="1141" w:type="dxa"/>
            <w:shd w:val="clear" w:color="auto" w:fill="auto"/>
          </w:tcPr>
          <w:p w14:paraId="6C486CAA" w14:textId="77777777" w:rsidR="00EC6AB5" w:rsidRPr="00D33E23" w:rsidRDefault="00EC6AB5" w:rsidP="00EC6AB5">
            <w:pPr>
              <w:jc w:val="right"/>
              <w:rPr>
                <w:b/>
                <w:bCs/>
                <w:color w:val="FF0000"/>
                <w:sz w:val="16"/>
                <w:szCs w:val="16"/>
              </w:rPr>
            </w:pPr>
          </w:p>
        </w:tc>
        <w:tc>
          <w:tcPr>
            <w:tcW w:w="1035" w:type="dxa"/>
            <w:tcBorders>
              <w:right w:val="single" w:sz="4" w:space="0" w:color="auto"/>
            </w:tcBorders>
            <w:shd w:val="clear" w:color="auto" w:fill="auto"/>
          </w:tcPr>
          <w:p w14:paraId="317D9D3C" w14:textId="77777777" w:rsidR="00EC6AB5" w:rsidRPr="00D33E23" w:rsidRDefault="00EC6AB5" w:rsidP="00EC6AB5">
            <w:pPr>
              <w:jc w:val="right"/>
              <w:rPr>
                <w:b/>
                <w:bCs/>
                <w:color w:val="FF0000"/>
                <w:sz w:val="16"/>
                <w:szCs w:val="16"/>
              </w:rPr>
            </w:pPr>
          </w:p>
        </w:tc>
        <w:tc>
          <w:tcPr>
            <w:tcW w:w="1093" w:type="dxa"/>
            <w:tcBorders>
              <w:left w:val="single" w:sz="4" w:space="0" w:color="auto"/>
            </w:tcBorders>
          </w:tcPr>
          <w:p w14:paraId="3B05DACB" w14:textId="77777777" w:rsidR="00EC6AB5" w:rsidRPr="0008425B" w:rsidRDefault="00EC6AB5" w:rsidP="00EC6AB5">
            <w:pPr>
              <w:jc w:val="right"/>
              <w:rPr>
                <w:sz w:val="16"/>
                <w:szCs w:val="16"/>
              </w:rPr>
            </w:pPr>
          </w:p>
        </w:tc>
        <w:tc>
          <w:tcPr>
            <w:tcW w:w="1141" w:type="dxa"/>
          </w:tcPr>
          <w:p w14:paraId="6AA768F9" w14:textId="77777777" w:rsidR="00EC6AB5" w:rsidRPr="0008425B" w:rsidRDefault="00EC6AB5" w:rsidP="00EC6AB5">
            <w:pPr>
              <w:jc w:val="right"/>
              <w:rPr>
                <w:sz w:val="16"/>
                <w:szCs w:val="16"/>
              </w:rPr>
            </w:pPr>
          </w:p>
        </w:tc>
        <w:tc>
          <w:tcPr>
            <w:tcW w:w="1035" w:type="dxa"/>
          </w:tcPr>
          <w:p w14:paraId="33730062" w14:textId="77777777" w:rsidR="00EC6AB5" w:rsidRPr="0008425B" w:rsidRDefault="00EC6AB5" w:rsidP="00EC6AB5">
            <w:pPr>
              <w:jc w:val="right"/>
              <w:rPr>
                <w:sz w:val="16"/>
                <w:szCs w:val="16"/>
              </w:rPr>
            </w:pPr>
          </w:p>
        </w:tc>
      </w:tr>
      <w:tr w:rsidR="00EC6AB5" w:rsidRPr="007F4514" w14:paraId="0D9F0D0A" w14:textId="77777777" w:rsidTr="00EC6AB5">
        <w:trPr>
          <w:trHeight w:val="284"/>
        </w:trPr>
        <w:tc>
          <w:tcPr>
            <w:tcW w:w="4045" w:type="dxa"/>
          </w:tcPr>
          <w:p w14:paraId="5660A9FD" w14:textId="77777777" w:rsidR="00EC6AB5" w:rsidRPr="00F30BA2" w:rsidRDefault="00EC6AB5" w:rsidP="00EC6AB5">
            <w:pPr>
              <w:rPr>
                <w:b/>
                <w:bCs/>
                <w:sz w:val="16"/>
                <w:szCs w:val="16"/>
              </w:rPr>
            </w:pPr>
            <w:r w:rsidRPr="00F30BA2">
              <w:rPr>
                <w:sz w:val="16"/>
                <w:szCs w:val="16"/>
              </w:rPr>
              <w:t>Payment of lease liabilities</w:t>
            </w:r>
          </w:p>
        </w:tc>
        <w:tc>
          <w:tcPr>
            <w:tcW w:w="1093" w:type="dxa"/>
            <w:shd w:val="clear" w:color="auto" w:fill="auto"/>
          </w:tcPr>
          <w:p w14:paraId="4E46DC1E" w14:textId="77777777" w:rsidR="00EC6AB5" w:rsidRPr="00F30BA2" w:rsidRDefault="00EC6AB5" w:rsidP="00EC6AB5">
            <w:pPr>
              <w:jc w:val="right"/>
              <w:rPr>
                <w:b/>
                <w:bCs/>
                <w:sz w:val="16"/>
                <w:szCs w:val="16"/>
              </w:rPr>
            </w:pPr>
            <w:r w:rsidRPr="00F30BA2">
              <w:rPr>
                <w:sz w:val="16"/>
                <w:szCs w:val="16"/>
              </w:rPr>
              <w:t>(170)</w:t>
            </w:r>
          </w:p>
        </w:tc>
        <w:tc>
          <w:tcPr>
            <w:tcW w:w="1141" w:type="dxa"/>
            <w:shd w:val="clear" w:color="auto" w:fill="auto"/>
          </w:tcPr>
          <w:p w14:paraId="0F7737C7" w14:textId="77777777" w:rsidR="00EC6AB5" w:rsidRPr="00F30BA2" w:rsidRDefault="00EC6AB5" w:rsidP="00EC6AB5">
            <w:pPr>
              <w:jc w:val="right"/>
              <w:rPr>
                <w:b/>
                <w:bCs/>
                <w:sz w:val="16"/>
                <w:szCs w:val="16"/>
              </w:rPr>
            </w:pPr>
            <w:r w:rsidRPr="00F30BA2">
              <w:rPr>
                <w:b/>
                <w:bCs/>
                <w:sz w:val="16"/>
                <w:szCs w:val="16"/>
              </w:rPr>
              <w:t>-</w:t>
            </w:r>
          </w:p>
        </w:tc>
        <w:tc>
          <w:tcPr>
            <w:tcW w:w="1035" w:type="dxa"/>
            <w:tcBorders>
              <w:right w:val="single" w:sz="4" w:space="0" w:color="auto"/>
            </w:tcBorders>
            <w:shd w:val="clear" w:color="auto" w:fill="auto"/>
          </w:tcPr>
          <w:p w14:paraId="6BA38EB4" w14:textId="77777777" w:rsidR="00EC6AB5" w:rsidRPr="00F30BA2" w:rsidRDefault="00EC6AB5" w:rsidP="00EC6AB5">
            <w:pPr>
              <w:jc w:val="right"/>
              <w:rPr>
                <w:b/>
                <w:bCs/>
                <w:sz w:val="16"/>
                <w:szCs w:val="16"/>
              </w:rPr>
            </w:pPr>
            <w:r w:rsidRPr="00F30BA2">
              <w:rPr>
                <w:sz w:val="16"/>
                <w:szCs w:val="16"/>
              </w:rPr>
              <w:t>(170)</w:t>
            </w:r>
          </w:p>
        </w:tc>
        <w:tc>
          <w:tcPr>
            <w:tcW w:w="1093" w:type="dxa"/>
            <w:tcBorders>
              <w:left w:val="single" w:sz="4" w:space="0" w:color="auto"/>
            </w:tcBorders>
          </w:tcPr>
          <w:p w14:paraId="7CA67F2E" w14:textId="77777777" w:rsidR="00EC6AB5" w:rsidRPr="00F30BA2" w:rsidRDefault="00EC6AB5" w:rsidP="00EC6AB5">
            <w:pPr>
              <w:jc w:val="right"/>
              <w:rPr>
                <w:sz w:val="16"/>
                <w:szCs w:val="16"/>
              </w:rPr>
            </w:pPr>
            <w:r w:rsidRPr="00F30BA2">
              <w:rPr>
                <w:sz w:val="16"/>
                <w:szCs w:val="16"/>
              </w:rPr>
              <w:t>(178)</w:t>
            </w:r>
          </w:p>
        </w:tc>
        <w:tc>
          <w:tcPr>
            <w:tcW w:w="1141" w:type="dxa"/>
          </w:tcPr>
          <w:p w14:paraId="1A6A0837" w14:textId="77777777" w:rsidR="00EC6AB5" w:rsidRPr="00F30BA2" w:rsidRDefault="00EC6AB5" w:rsidP="00EC6AB5">
            <w:pPr>
              <w:jc w:val="right"/>
              <w:rPr>
                <w:sz w:val="16"/>
                <w:szCs w:val="16"/>
              </w:rPr>
            </w:pPr>
            <w:r w:rsidRPr="00F30BA2">
              <w:rPr>
                <w:sz w:val="16"/>
                <w:szCs w:val="16"/>
              </w:rPr>
              <w:t>(21)</w:t>
            </w:r>
          </w:p>
        </w:tc>
        <w:tc>
          <w:tcPr>
            <w:tcW w:w="1035" w:type="dxa"/>
          </w:tcPr>
          <w:p w14:paraId="70C9ED3C" w14:textId="77777777" w:rsidR="00EC6AB5" w:rsidRPr="00F30BA2" w:rsidRDefault="00EC6AB5" w:rsidP="00EC6AB5">
            <w:pPr>
              <w:jc w:val="right"/>
              <w:rPr>
                <w:sz w:val="16"/>
                <w:szCs w:val="16"/>
              </w:rPr>
            </w:pPr>
            <w:r w:rsidRPr="00F30BA2">
              <w:rPr>
                <w:sz w:val="16"/>
                <w:szCs w:val="16"/>
              </w:rPr>
              <w:t>(199)</w:t>
            </w:r>
          </w:p>
        </w:tc>
      </w:tr>
      <w:tr w:rsidR="00EC6AB5" w:rsidRPr="007F4514" w14:paraId="16FD200B" w14:textId="77777777" w:rsidTr="00EC6AB5">
        <w:trPr>
          <w:trHeight w:val="284"/>
        </w:trPr>
        <w:tc>
          <w:tcPr>
            <w:tcW w:w="4045" w:type="dxa"/>
          </w:tcPr>
          <w:p w14:paraId="29C3DE06" w14:textId="77777777" w:rsidR="00EC6AB5" w:rsidRPr="00F30BA2" w:rsidRDefault="00EC6AB5" w:rsidP="00EC6AB5">
            <w:pPr>
              <w:rPr>
                <w:sz w:val="16"/>
                <w:szCs w:val="16"/>
              </w:rPr>
            </w:pPr>
            <w:r w:rsidRPr="00F30BA2">
              <w:rPr>
                <w:sz w:val="16"/>
                <w:szCs w:val="16"/>
              </w:rPr>
              <w:t>Loan repayments in year</w:t>
            </w:r>
          </w:p>
        </w:tc>
        <w:tc>
          <w:tcPr>
            <w:tcW w:w="1093" w:type="dxa"/>
            <w:shd w:val="clear" w:color="auto" w:fill="auto"/>
          </w:tcPr>
          <w:p w14:paraId="7F27D769" w14:textId="77777777" w:rsidR="00EC6AB5" w:rsidRPr="00F30BA2" w:rsidRDefault="00EC6AB5" w:rsidP="00EC6AB5">
            <w:pPr>
              <w:jc w:val="right"/>
              <w:rPr>
                <w:sz w:val="16"/>
                <w:szCs w:val="16"/>
              </w:rPr>
            </w:pPr>
            <w:r w:rsidRPr="00F30BA2">
              <w:rPr>
                <w:sz w:val="16"/>
                <w:szCs w:val="16"/>
              </w:rPr>
              <w:t>(1,025)</w:t>
            </w:r>
          </w:p>
        </w:tc>
        <w:tc>
          <w:tcPr>
            <w:tcW w:w="1141" w:type="dxa"/>
            <w:shd w:val="clear" w:color="auto" w:fill="auto"/>
          </w:tcPr>
          <w:p w14:paraId="367FD207" w14:textId="77777777" w:rsidR="00EC6AB5" w:rsidRPr="00F30BA2" w:rsidRDefault="00EC6AB5" w:rsidP="00EC6AB5">
            <w:pPr>
              <w:jc w:val="right"/>
              <w:rPr>
                <w:sz w:val="16"/>
                <w:szCs w:val="16"/>
              </w:rPr>
            </w:pPr>
            <w:r w:rsidRPr="00F30BA2">
              <w:rPr>
                <w:sz w:val="16"/>
                <w:szCs w:val="16"/>
              </w:rPr>
              <w:t>-</w:t>
            </w:r>
          </w:p>
        </w:tc>
        <w:tc>
          <w:tcPr>
            <w:tcW w:w="1035" w:type="dxa"/>
            <w:tcBorders>
              <w:right w:val="single" w:sz="4" w:space="0" w:color="auto"/>
            </w:tcBorders>
            <w:shd w:val="clear" w:color="auto" w:fill="auto"/>
          </w:tcPr>
          <w:p w14:paraId="60A92C2F" w14:textId="77777777" w:rsidR="00EC6AB5" w:rsidRPr="00F30BA2" w:rsidRDefault="00EC6AB5" w:rsidP="00EC6AB5">
            <w:pPr>
              <w:jc w:val="right"/>
              <w:rPr>
                <w:sz w:val="16"/>
                <w:szCs w:val="16"/>
              </w:rPr>
            </w:pPr>
            <w:r w:rsidRPr="00F30BA2">
              <w:rPr>
                <w:sz w:val="16"/>
                <w:szCs w:val="16"/>
              </w:rPr>
              <w:t>(1,025)</w:t>
            </w:r>
          </w:p>
        </w:tc>
        <w:tc>
          <w:tcPr>
            <w:tcW w:w="1093" w:type="dxa"/>
            <w:tcBorders>
              <w:left w:val="single" w:sz="4" w:space="0" w:color="auto"/>
            </w:tcBorders>
          </w:tcPr>
          <w:p w14:paraId="5510F884" w14:textId="77777777" w:rsidR="00EC6AB5" w:rsidRPr="00F30BA2" w:rsidRDefault="00EC6AB5" w:rsidP="00EC6AB5">
            <w:pPr>
              <w:jc w:val="right"/>
              <w:rPr>
                <w:sz w:val="16"/>
                <w:szCs w:val="16"/>
              </w:rPr>
            </w:pPr>
            <w:r w:rsidRPr="00F30BA2">
              <w:rPr>
                <w:sz w:val="16"/>
                <w:szCs w:val="16"/>
              </w:rPr>
              <w:t>(731)</w:t>
            </w:r>
          </w:p>
        </w:tc>
        <w:tc>
          <w:tcPr>
            <w:tcW w:w="1141" w:type="dxa"/>
          </w:tcPr>
          <w:p w14:paraId="071AB9F2" w14:textId="77777777" w:rsidR="00EC6AB5" w:rsidRPr="00F30BA2" w:rsidRDefault="00EC6AB5" w:rsidP="00EC6AB5">
            <w:pPr>
              <w:jc w:val="right"/>
              <w:rPr>
                <w:sz w:val="16"/>
                <w:szCs w:val="16"/>
              </w:rPr>
            </w:pPr>
            <w:r w:rsidRPr="00F30BA2">
              <w:rPr>
                <w:sz w:val="16"/>
                <w:szCs w:val="16"/>
              </w:rPr>
              <w:t>-</w:t>
            </w:r>
          </w:p>
        </w:tc>
        <w:tc>
          <w:tcPr>
            <w:tcW w:w="1035" w:type="dxa"/>
          </w:tcPr>
          <w:p w14:paraId="275C3229" w14:textId="77777777" w:rsidR="00EC6AB5" w:rsidRPr="00F30BA2" w:rsidRDefault="00EC6AB5" w:rsidP="00EC6AB5">
            <w:pPr>
              <w:jc w:val="right"/>
              <w:rPr>
                <w:sz w:val="16"/>
                <w:szCs w:val="16"/>
              </w:rPr>
            </w:pPr>
            <w:r w:rsidRPr="00F30BA2">
              <w:rPr>
                <w:sz w:val="16"/>
                <w:szCs w:val="16"/>
              </w:rPr>
              <w:t>(731)</w:t>
            </w:r>
          </w:p>
        </w:tc>
      </w:tr>
      <w:tr w:rsidR="00EC6AB5" w:rsidRPr="007F4514" w14:paraId="280708B2" w14:textId="77777777" w:rsidTr="00EC6AB5">
        <w:trPr>
          <w:trHeight w:val="284"/>
        </w:trPr>
        <w:tc>
          <w:tcPr>
            <w:tcW w:w="4045" w:type="dxa"/>
          </w:tcPr>
          <w:p w14:paraId="07C314F9" w14:textId="77777777" w:rsidR="00EC6AB5" w:rsidRPr="00F30BA2" w:rsidRDefault="00EC6AB5" w:rsidP="00EC6AB5">
            <w:pPr>
              <w:rPr>
                <w:sz w:val="16"/>
                <w:szCs w:val="16"/>
              </w:rPr>
            </w:pPr>
            <w:r w:rsidRPr="00F30BA2">
              <w:rPr>
                <w:sz w:val="16"/>
                <w:szCs w:val="16"/>
              </w:rPr>
              <w:t>Changes in overdrafts</w:t>
            </w:r>
          </w:p>
        </w:tc>
        <w:tc>
          <w:tcPr>
            <w:tcW w:w="1093" w:type="dxa"/>
            <w:shd w:val="clear" w:color="auto" w:fill="auto"/>
          </w:tcPr>
          <w:p w14:paraId="75518FC0" w14:textId="77777777" w:rsidR="00EC6AB5" w:rsidRPr="00F30BA2" w:rsidRDefault="00EC6AB5" w:rsidP="00EC6AB5">
            <w:pPr>
              <w:jc w:val="right"/>
              <w:rPr>
                <w:sz w:val="16"/>
                <w:szCs w:val="16"/>
              </w:rPr>
            </w:pPr>
            <w:r w:rsidRPr="00F30BA2">
              <w:rPr>
                <w:sz w:val="16"/>
                <w:szCs w:val="16"/>
              </w:rPr>
              <w:t>(254)</w:t>
            </w:r>
          </w:p>
        </w:tc>
        <w:tc>
          <w:tcPr>
            <w:tcW w:w="1141" w:type="dxa"/>
            <w:shd w:val="clear" w:color="auto" w:fill="auto"/>
          </w:tcPr>
          <w:p w14:paraId="55049D61" w14:textId="77777777" w:rsidR="00EC6AB5" w:rsidRPr="00F30BA2" w:rsidRDefault="00EC6AB5" w:rsidP="00EC6AB5">
            <w:pPr>
              <w:jc w:val="right"/>
              <w:rPr>
                <w:sz w:val="16"/>
                <w:szCs w:val="16"/>
              </w:rPr>
            </w:pPr>
            <w:r w:rsidRPr="00F30BA2">
              <w:rPr>
                <w:sz w:val="16"/>
                <w:szCs w:val="16"/>
              </w:rPr>
              <w:t>-</w:t>
            </w:r>
          </w:p>
        </w:tc>
        <w:tc>
          <w:tcPr>
            <w:tcW w:w="1035" w:type="dxa"/>
            <w:tcBorders>
              <w:right w:val="single" w:sz="4" w:space="0" w:color="auto"/>
            </w:tcBorders>
            <w:shd w:val="clear" w:color="auto" w:fill="auto"/>
          </w:tcPr>
          <w:p w14:paraId="2D1669FB" w14:textId="77777777" w:rsidR="00EC6AB5" w:rsidRPr="00F30BA2" w:rsidRDefault="00EC6AB5" w:rsidP="00EC6AB5">
            <w:pPr>
              <w:jc w:val="right"/>
              <w:rPr>
                <w:sz w:val="16"/>
                <w:szCs w:val="16"/>
              </w:rPr>
            </w:pPr>
            <w:r w:rsidRPr="00F30BA2">
              <w:rPr>
                <w:sz w:val="16"/>
                <w:szCs w:val="16"/>
              </w:rPr>
              <w:t>(254)</w:t>
            </w:r>
          </w:p>
        </w:tc>
        <w:tc>
          <w:tcPr>
            <w:tcW w:w="1093" w:type="dxa"/>
            <w:tcBorders>
              <w:left w:val="single" w:sz="4" w:space="0" w:color="auto"/>
            </w:tcBorders>
          </w:tcPr>
          <w:p w14:paraId="4FEC908F" w14:textId="77777777" w:rsidR="00EC6AB5" w:rsidRPr="00F30BA2" w:rsidRDefault="00EC6AB5" w:rsidP="00EC6AB5">
            <w:pPr>
              <w:jc w:val="right"/>
              <w:rPr>
                <w:sz w:val="16"/>
                <w:szCs w:val="16"/>
              </w:rPr>
            </w:pPr>
            <w:r w:rsidRPr="00F30BA2">
              <w:rPr>
                <w:sz w:val="16"/>
                <w:szCs w:val="16"/>
              </w:rPr>
              <w:t>(40)</w:t>
            </w:r>
          </w:p>
        </w:tc>
        <w:tc>
          <w:tcPr>
            <w:tcW w:w="1141" w:type="dxa"/>
          </w:tcPr>
          <w:p w14:paraId="417297A3" w14:textId="77777777" w:rsidR="00EC6AB5" w:rsidRPr="00F30BA2" w:rsidRDefault="00EC6AB5" w:rsidP="00EC6AB5">
            <w:pPr>
              <w:jc w:val="right"/>
              <w:rPr>
                <w:sz w:val="16"/>
                <w:szCs w:val="16"/>
              </w:rPr>
            </w:pPr>
            <w:r w:rsidRPr="00F30BA2">
              <w:rPr>
                <w:sz w:val="16"/>
                <w:szCs w:val="16"/>
              </w:rPr>
              <w:t>(9)</w:t>
            </w:r>
          </w:p>
        </w:tc>
        <w:tc>
          <w:tcPr>
            <w:tcW w:w="1035" w:type="dxa"/>
          </w:tcPr>
          <w:p w14:paraId="64303250" w14:textId="77777777" w:rsidR="00EC6AB5" w:rsidRPr="00F30BA2" w:rsidRDefault="00EC6AB5" w:rsidP="00EC6AB5">
            <w:pPr>
              <w:jc w:val="right"/>
              <w:rPr>
                <w:sz w:val="16"/>
                <w:szCs w:val="16"/>
              </w:rPr>
            </w:pPr>
            <w:r w:rsidRPr="00F30BA2">
              <w:rPr>
                <w:sz w:val="16"/>
                <w:szCs w:val="16"/>
              </w:rPr>
              <w:t>(49)</w:t>
            </w:r>
          </w:p>
        </w:tc>
      </w:tr>
      <w:tr w:rsidR="00EC6AB5" w:rsidRPr="007F4514" w14:paraId="0AF04AFC" w14:textId="77777777" w:rsidTr="00EC6AB5">
        <w:trPr>
          <w:trHeight w:val="284"/>
        </w:trPr>
        <w:tc>
          <w:tcPr>
            <w:tcW w:w="4045" w:type="dxa"/>
            <w:tcBorders>
              <w:top w:val="single" w:sz="4" w:space="0" w:color="auto"/>
              <w:bottom w:val="single" w:sz="4" w:space="0" w:color="auto"/>
            </w:tcBorders>
          </w:tcPr>
          <w:p w14:paraId="30E56224" w14:textId="77777777" w:rsidR="00EC6AB5" w:rsidRPr="00F30BA2" w:rsidRDefault="00EC6AB5" w:rsidP="00EC6AB5">
            <w:pPr>
              <w:rPr>
                <w:sz w:val="16"/>
                <w:szCs w:val="16"/>
              </w:rPr>
            </w:pPr>
            <w:r w:rsidRPr="00F30BA2">
              <w:rPr>
                <w:b/>
                <w:bCs/>
                <w:sz w:val="16"/>
                <w:szCs w:val="16"/>
              </w:rPr>
              <w:t>Net cash from financing activities</w:t>
            </w:r>
          </w:p>
        </w:tc>
        <w:tc>
          <w:tcPr>
            <w:tcW w:w="1093" w:type="dxa"/>
            <w:tcBorders>
              <w:top w:val="single" w:sz="4" w:space="0" w:color="auto"/>
              <w:bottom w:val="single" w:sz="4" w:space="0" w:color="auto"/>
            </w:tcBorders>
            <w:shd w:val="clear" w:color="auto" w:fill="auto"/>
          </w:tcPr>
          <w:p w14:paraId="006A4D34" w14:textId="77777777" w:rsidR="00EC6AB5" w:rsidRPr="00F30BA2" w:rsidRDefault="00EC6AB5" w:rsidP="00EC6AB5">
            <w:pPr>
              <w:jc w:val="right"/>
              <w:rPr>
                <w:sz w:val="16"/>
                <w:szCs w:val="16"/>
              </w:rPr>
            </w:pPr>
            <w:r w:rsidRPr="00F30BA2">
              <w:rPr>
                <w:sz w:val="16"/>
                <w:szCs w:val="16"/>
              </w:rPr>
              <w:t>(1,449)</w:t>
            </w:r>
          </w:p>
        </w:tc>
        <w:tc>
          <w:tcPr>
            <w:tcW w:w="1141" w:type="dxa"/>
            <w:tcBorders>
              <w:top w:val="single" w:sz="4" w:space="0" w:color="auto"/>
              <w:bottom w:val="single" w:sz="4" w:space="0" w:color="auto"/>
            </w:tcBorders>
            <w:shd w:val="clear" w:color="auto" w:fill="auto"/>
          </w:tcPr>
          <w:p w14:paraId="09207AAB" w14:textId="77777777" w:rsidR="00EC6AB5" w:rsidRPr="00F30BA2" w:rsidRDefault="00EC6AB5" w:rsidP="00EC6AB5">
            <w:pPr>
              <w:jc w:val="right"/>
              <w:rPr>
                <w:sz w:val="16"/>
                <w:szCs w:val="16"/>
              </w:rPr>
            </w:pPr>
            <w:r w:rsidRPr="00F30BA2">
              <w:rPr>
                <w:sz w:val="16"/>
                <w:szCs w:val="16"/>
              </w:rPr>
              <w:t>-</w:t>
            </w:r>
          </w:p>
        </w:tc>
        <w:tc>
          <w:tcPr>
            <w:tcW w:w="1035" w:type="dxa"/>
            <w:tcBorders>
              <w:top w:val="single" w:sz="4" w:space="0" w:color="auto"/>
              <w:bottom w:val="single" w:sz="4" w:space="0" w:color="auto"/>
              <w:right w:val="single" w:sz="4" w:space="0" w:color="auto"/>
            </w:tcBorders>
            <w:shd w:val="clear" w:color="auto" w:fill="auto"/>
          </w:tcPr>
          <w:p w14:paraId="3E0E9D22" w14:textId="77777777" w:rsidR="00EC6AB5" w:rsidRPr="00F30BA2" w:rsidRDefault="00EC6AB5" w:rsidP="00EC6AB5">
            <w:pPr>
              <w:jc w:val="right"/>
              <w:rPr>
                <w:sz w:val="16"/>
                <w:szCs w:val="16"/>
              </w:rPr>
            </w:pPr>
            <w:r w:rsidRPr="00F30BA2">
              <w:rPr>
                <w:b/>
                <w:bCs/>
                <w:sz w:val="16"/>
                <w:szCs w:val="16"/>
              </w:rPr>
              <w:t>(1,449)</w:t>
            </w:r>
          </w:p>
        </w:tc>
        <w:tc>
          <w:tcPr>
            <w:tcW w:w="1093" w:type="dxa"/>
            <w:tcBorders>
              <w:top w:val="single" w:sz="4" w:space="0" w:color="auto"/>
              <w:left w:val="single" w:sz="4" w:space="0" w:color="auto"/>
              <w:bottom w:val="single" w:sz="4" w:space="0" w:color="auto"/>
            </w:tcBorders>
          </w:tcPr>
          <w:p w14:paraId="51AEEA5E" w14:textId="77777777" w:rsidR="00EC6AB5" w:rsidRPr="00F30BA2" w:rsidRDefault="00EC6AB5" w:rsidP="00EC6AB5">
            <w:pPr>
              <w:jc w:val="right"/>
              <w:rPr>
                <w:sz w:val="16"/>
                <w:szCs w:val="16"/>
              </w:rPr>
            </w:pPr>
            <w:r w:rsidRPr="00F30BA2">
              <w:rPr>
                <w:sz w:val="16"/>
                <w:szCs w:val="16"/>
              </w:rPr>
              <w:t>(949)</w:t>
            </w:r>
          </w:p>
        </w:tc>
        <w:tc>
          <w:tcPr>
            <w:tcW w:w="1141" w:type="dxa"/>
            <w:tcBorders>
              <w:top w:val="single" w:sz="4" w:space="0" w:color="auto"/>
              <w:bottom w:val="single" w:sz="4" w:space="0" w:color="auto"/>
            </w:tcBorders>
          </w:tcPr>
          <w:p w14:paraId="3E62058B" w14:textId="77777777" w:rsidR="00EC6AB5" w:rsidRPr="00F30BA2" w:rsidRDefault="00EC6AB5" w:rsidP="00EC6AB5">
            <w:pPr>
              <w:jc w:val="right"/>
              <w:rPr>
                <w:sz w:val="16"/>
                <w:szCs w:val="16"/>
              </w:rPr>
            </w:pPr>
            <w:r w:rsidRPr="00F30BA2">
              <w:rPr>
                <w:sz w:val="16"/>
                <w:szCs w:val="16"/>
              </w:rPr>
              <w:t>(30)</w:t>
            </w:r>
          </w:p>
        </w:tc>
        <w:tc>
          <w:tcPr>
            <w:tcW w:w="1035" w:type="dxa"/>
            <w:tcBorders>
              <w:top w:val="single" w:sz="4" w:space="0" w:color="auto"/>
              <w:bottom w:val="single" w:sz="4" w:space="0" w:color="auto"/>
            </w:tcBorders>
          </w:tcPr>
          <w:p w14:paraId="517B86D4" w14:textId="77777777" w:rsidR="00EC6AB5" w:rsidRPr="00F30BA2" w:rsidRDefault="00EC6AB5" w:rsidP="00EC6AB5">
            <w:pPr>
              <w:jc w:val="right"/>
              <w:rPr>
                <w:sz w:val="16"/>
                <w:szCs w:val="16"/>
              </w:rPr>
            </w:pPr>
            <w:r w:rsidRPr="00F30BA2">
              <w:rPr>
                <w:sz w:val="16"/>
                <w:szCs w:val="16"/>
              </w:rPr>
              <w:t>(979)</w:t>
            </w:r>
          </w:p>
        </w:tc>
      </w:tr>
      <w:tr w:rsidR="00EC6AB5" w:rsidRPr="007F4514" w14:paraId="6747EBB9" w14:textId="77777777" w:rsidTr="00EC6AB5">
        <w:trPr>
          <w:trHeight w:val="284"/>
        </w:trPr>
        <w:tc>
          <w:tcPr>
            <w:tcW w:w="4045" w:type="dxa"/>
            <w:tcBorders>
              <w:top w:val="single" w:sz="4" w:space="0" w:color="auto"/>
            </w:tcBorders>
          </w:tcPr>
          <w:p w14:paraId="3F796277" w14:textId="77777777" w:rsidR="00EC6AB5" w:rsidRPr="00F30BA2" w:rsidRDefault="00EC6AB5" w:rsidP="00EC6AB5">
            <w:pPr>
              <w:rPr>
                <w:b/>
                <w:bCs/>
                <w:sz w:val="16"/>
                <w:szCs w:val="16"/>
              </w:rPr>
            </w:pPr>
          </w:p>
        </w:tc>
        <w:tc>
          <w:tcPr>
            <w:tcW w:w="1093" w:type="dxa"/>
            <w:tcBorders>
              <w:top w:val="single" w:sz="4" w:space="0" w:color="auto"/>
            </w:tcBorders>
            <w:shd w:val="clear" w:color="auto" w:fill="auto"/>
          </w:tcPr>
          <w:p w14:paraId="12F6FED0" w14:textId="77777777" w:rsidR="00EC6AB5" w:rsidRPr="00F30BA2" w:rsidRDefault="00EC6AB5" w:rsidP="00EC6AB5">
            <w:pPr>
              <w:jc w:val="right"/>
              <w:rPr>
                <w:b/>
                <w:bCs/>
                <w:color w:val="FF0000"/>
                <w:sz w:val="16"/>
                <w:szCs w:val="16"/>
              </w:rPr>
            </w:pPr>
          </w:p>
        </w:tc>
        <w:tc>
          <w:tcPr>
            <w:tcW w:w="1141" w:type="dxa"/>
            <w:tcBorders>
              <w:top w:val="single" w:sz="4" w:space="0" w:color="auto"/>
            </w:tcBorders>
            <w:shd w:val="clear" w:color="auto" w:fill="auto"/>
          </w:tcPr>
          <w:p w14:paraId="289A2245" w14:textId="77777777" w:rsidR="00EC6AB5" w:rsidRPr="00F30BA2" w:rsidRDefault="00EC6AB5" w:rsidP="00EC6AB5">
            <w:pPr>
              <w:jc w:val="right"/>
              <w:rPr>
                <w:b/>
                <w:bCs/>
                <w:color w:val="FF0000"/>
                <w:sz w:val="16"/>
                <w:szCs w:val="16"/>
              </w:rPr>
            </w:pPr>
          </w:p>
        </w:tc>
        <w:tc>
          <w:tcPr>
            <w:tcW w:w="1035" w:type="dxa"/>
            <w:tcBorders>
              <w:top w:val="single" w:sz="4" w:space="0" w:color="auto"/>
              <w:right w:val="single" w:sz="4" w:space="0" w:color="auto"/>
            </w:tcBorders>
            <w:shd w:val="clear" w:color="auto" w:fill="auto"/>
          </w:tcPr>
          <w:p w14:paraId="3C216717" w14:textId="77777777" w:rsidR="00EC6AB5" w:rsidRPr="00F30BA2" w:rsidRDefault="00EC6AB5" w:rsidP="00EC6AB5">
            <w:pPr>
              <w:jc w:val="right"/>
              <w:rPr>
                <w:b/>
                <w:bCs/>
                <w:color w:val="FF0000"/>
                <w:sz w:val="16"/>
                <w:szCs w:val="16"/>
              </w:rPr>
            </w:pPr>
          </w:p>
        </w:tc>
        <w:tc>
          <w:tcPr>
            <w:tcW w:w="1093" w:type="dxa"/>
            <w:tcBorders>
              <w:top w:val="single" w:sz="4" w:space="0" w:color="auto"/>
              <w:left w:val="single" w:sz="4" w:space="0" w:color="auto"/>
            </w:tcBorders>
          </w:tcPr>
          <w:p w14:paraId="687CB5C5" w14:textId="77777777" w:rsidR="00EC6AB5" w:rsidRPr="00F30BA2" w:rsidRDefault="00EC6AB5" w:rsidP="00EC6AB5">
            <w:pPr>
              <w:jc w:val="right"/>
              <w:rPr>
                <w:color w:val="FF0000"/>
                <w:sz w:val="16"/>
                <w:szCs w:val="16"/>
              </w:rPr>
            </w:pPr>
          </w:p>
        </w:tc>
        <w:tc>
          <w:tcPr>
            <w:tcW w:w="1141" w:type="dxa"/>
            <w:tcBorders>
              <w:top w:val="single" w:sz="4" w:space="0" w:color="auto"/>
            </w:tcBorders>
          </w:tcPr>
          <w:p w14:paraId="13562D4C" w14:textId="77777777" w:rsidR="00EC6AB5" w:rsidRPr="00F30BA2" w:rsidRDefault="00EC6AB5" w:rsidP="00EC6AB5">
            <w:pPr>
              <w:jc w:val="right"/>
              <w:rPr>
                <w:color w:val="FF0000"/>
                <w:sz w:val="16"/>
                <w:szCs w:val="16"/>
              </w:rPr>
            </w:pPr>
          </w:p>
        </w:tc>
        <w:tc>
          <w:tcPr>
            <w:tcW w:w="1035" w:type="dxa"/>
            <w:tcBorders>
              <w:top w:val="single" w:sz="4" w:space="0" w:color="auto"/>
            </w:tcBorders>
          </w:tcPr>
          <w:p w14:paraId="6C147135" w14:textId="77777777" w:rsidR="00EC6AB5" w:rsidRPr="00F30BA2" w:rsidRDefault="00EC6AB5" w:rsidP="00EC6AB5">
            <w:pPr>
              <w:jc w:val="right"/>
              <w:rPr>
                <w:color w:val="FF0000"/>
                <w:sz w:val="16"/>
                <w:szCs w:val="16"/>
              </w:rPr>
            </w:pPr>
          </w:p>
        </w:tc>
      </w:tr>
      <w:tr w:rsidR="00EC6AB5" w:rsidRPr="007F4514" w14:paraId="462592F4" w14:textId="77777777" w:rsidTr="00EC6AB5">
        <w:trPr>
          <w:trHeight w:val="284"/>
        </w:trPr>
        <w:tc>
          <w:tcPr>
            <w:tcW w:w="4045" w:type="dxa"/>
          </w:tcPr>
          <w:p w14:paraId="4D2B0095" w14:textId="77777777" w:rsidR="00EC6AB5" w:rsidRPr="00F30BA2" w:rsidRDefault="00EC6AB5" w:rsidP="00EC6AB5">
            <w:pPr>
              <w:rPr>
                <w:b/>
                <w:bCs/>
                <w:sz w:val="16"/>
                <w:szCs w:val="16"/>
              </w:rPr>
            </w:pPr>
            <w:r w:rsidRPr="00F30BA2">
              <w:rPr>
                <w:b/>
                <w:bCs/>
                <w:sz w:val="16"/>
                <w:szCs w:val="16"/>
              </w:rPr>
              <w:t>(Decrease)/increase in net cash and cash equivalents</w:t>
            </w:r>
          </w:p>
        </w:tc>
        <w:tc>
          <w:tcPr>
            <w:tcW w:w="1093" w:type="dxa"/>
            <w:shd w:val="clear" w:color="auto" w:fill="auto"/>
          </w:tcPr>
          <w:p w14:paraId="058FB317" w14:textId="77777777" w:rsidR="00EC6AB5" w:rsidRPr="00F30BA2" w:rsidRDefault="00EC6AB5" w:rsidP="00EC6AB5">
            <w:pPr>
              <w:jc w:val="right"/>
              <w:rPr>
                <w:b/>
                <w:bCs/>
                <w:color w:val="000000" w:themeColor="text1"/>
                <w:sz w:val="16"/>
                <w:szCs w:val="16"/>
              </w:rPr>
            </w:pPr>
            <w:r w:rsidRPr="00F30BA2">
              <w:rPr>
                <w:b/>
                <w:bCs/>
                <w:color w:val="000000" w:themeColor="text1"/>
                <w:sz w:val="16"/>
                <w:szCs w:val="16"/>
              </w:rPr>
              <w:t>1,198</w:t>
            </w:r>
          </w:p>
        </w:tc>
        <w:tc>
          <w:tcPr>
            <w:tcW w:w="1141" w:type="dxa"/>
            <w:shd w:val="clear" w:color="auto" w:fill="auto"/>
          </w:tcPr>
          <w:p w14:paraId="74D61D2B" w14:textId="77777777" w:rsidR="00EC6AB5" w:rsidRPr="00F30BA2" w:rsidRDefault="00EC6AB5" w:rsidP="00EC6AB5">
            <w:pPr>
              <w:jc w:val="right"/>
              <w:rPr>
                <w:b/>
                <w:bCs/>
                <w:color w:val="000000" w:themeColor="text1"/>
                <w:sz w:val="16"/>
                <w:szCs w:val="16"/>
              </w:rPr>
            </w:pPr>
            <w:r w:rsidRPr="00F30BA2">
              <w:rPr>
                <w:b/>
                <w:bCs/>
                <w:color w:val="000000" w:themeColor="text1"/>
                <w:sz w:val="16"/>
                <w:szCs w:val="16"/>
              </w:rPr>
              <w:t>(342)</w:t>
            </w:r>
          </w:p>
        </w:tc>
        <w:tc>
          <w:tcPr>
            <w:tcW w:w="1035" w:type="dxa"/>
            <w:tcBorders>
              <w:right w:val="single" w:sz="4" w:space="0" w:color="auto"/>
            </w:tcBorders>
            <w:shd w:val="clear" w:color="auto" w:fill="auto"/>
          </w:tcPr>
          <w:p w14:paraId="5529F414" w14:textId="77777777" w:rsidR="00EC6AB5" w:rsidRPr="00F30BA2" w:rsidRDefault="00EC6AB5" w:rsidP="00EC6AB5">
            <w:pPr>
              <w:jc w:val="right"/>
              <w:rPr>
                <w:b/>
                <w:bCs/>
                <w:color w:val="000000" w:themeColor="text1"/>
                <w:sz w:val="16"/>
                <w:szCs w:val="16"/>
              </w:rPr>
            </w:pPr>
            <w:r w:rsidRPr="00F30BA2">
              <w:rPr>
                <w:b/>
                <w:bCs/>
                <w:color w:val="000000" w:themeColor="text1"/>
                <w:sz w:val="16"/>
                <w:szCs w:val="16"/>
              </w:rPr>
              <w:t>856</w:t>
            </w:r>
          </w:p>
        </w:tc>
        <w:tc>
          <w:tcPr>
            <w:tcW w:w="1093" w:type="dxa"/>
            <w:tcBorders>
              <w:left w:val="single" w:sz="4" w:space="0" w:color="auto"/>
            </w:tcBorders>
          </w:tcPr>
          <w:p w14:paraId="45858E0A" w14:textId="77777777" w:rsidR="00EC6AB5" w:rsidRPr="00F30BA2" w:rsidRDefault="00EC6AB5" w:rsidP="00EC6AB5">
            <w:pPr>
              <w:jc w:val="right"/>
              <w:rPr>
                <w:sz w:val="16"/>
                <w:szCs w:val="16"/>
              </w:rPr>
            </w:pPr>
            <w:r w:rsidRPr="00F30BA2">
              <w:rPr>
                <w:sz w:val="16"/>
                <w:szCs w:val="16"/>
              </w:rPr>
              <w:t>(4,771)</w:t>
            </w:r>
          </w:p>
        </w:tc>
        <w:tc>
          <w:tcPr>
            <w:tcW w:w="1141" w:type="dxa"/>
          </w:tcPr>
          <w:p w14:paraId="2FA6E941" w14:textId="77777777" w:rsidR="00EC6AB5" w:rsidRPr="00F30BA2" w:rsidRDefault="00EC6AB5" w:rsidP="00EC6AB5">
            <w:pPr>
              <w:jc w:val="right"/>
              <w:rPr>
                <w:sz w:val="16"/>
                <w:szCs w:val="16"/>
              </w:rPr>
            </w:pPr>
            <w:r w:rsidRPr="00F30BA2">
              <w:rPr>
                <w:sz w:val="16"/>
                <w:szCs w:val="16"/>
              </w:rPr>
              <w:t>22</w:t>
            </w:r>
          </w:p>
        </w:tc>
        <w:tc>
          <w:tcPr>
            <w:tcW w:w="1035" w:type="dxa"/>
          </w:tcPr>
          <w:p w14:paraId="314F315D" w14:textId="77777777" w:rsidR="00EC6AB5" w:rsidRPr="00F30BA2" w:rsidRDefault="00EC6AB5" w:rsidP="00EC6AB5">
            <w:pPr>
              <w:jc w:val="right"/>
              <w:rPr>
                <w:sz w:val="16"/>
                <w:szCs w:val="16"/>
              </w:rPr>
            </w:pPr>
            <w:r w:rsidRPr="00F30BA2">
              <w:rPr>
                <w:sz w:val="16"/>
                <w:szCs w:val="16"/>
              </w:rPr>
              <w:t>(4,749)</w:t>
            </w:r>
          </w:p>
        </w:tc>
      </w:tr>
      <w:tr w:rsidR="00EC6AB5" w:rsidRPr="007F4514" w14:paraId="73B5BD81" w14:textId="77777777" w:rsidTr="00EC6AB5">
        <w:trPr>
          <w:trHeight w:val="284"/>
        </w:trPr>
        <w:tc>
          <w:tcPr>
            <w:tcW w:w="4045" w:type="dxa"/>
          </w:tcPr>
          <w:p w14:paraId="2A837023" w14:textId="77777777" w:rsidR="00EC6AB5" w:rsidRPr="00F30BA2" w:rsidRDefault="00EC6AB5" w:rsidP="00EC6AB5">
            <w:pPr>
              <w:rPr>
                <w:b/>
                <w:bCs/>
                <w:sz w:val="16"/>
                <w:szCs w:val="16"/>
              </w:rPr>
            </w:pPr>
          </w:p>
        </w:tc>
        <w:tc>
          <w:tcPr>
            <w:tcW w:w="1093" w:type="dxa"/>
          </w:tcPr>
          <w:p w14:paraId="16DAD2CB" w14:textId="77777777" w:rsidR="00EC6AB5" w:rsidRPr="00F30BA2" w:rsidRDefault="00EC6AB5" w:rsidP="00EC6AB5">
            <w:pPr>
              <w:jc w:val="right"/>
              <w:rPr>
                <w:color w:val="FF0000"/>
                <w:sz w:val="16"/>
                <w:szCs w:val="16"/>
              </w:rPr>
            </w:pPr>
          </w:p>
        </w:tc>
        <w:tc>
          <w:tcPr>
            <w:tcW w:w="1141" w:type="dxa"/>
          </w:tcPr>
          <w:p w14:paraId="63D56E3D" w14:textId="77777777" w:rsidR="00EC6AB5" w:rsidRPr="00F30BA2" w:rsidRDefault="00EC6AB5" w:rsidP="00EC6AB5">
            <w:pPr>
              <w:jc w:val="right"/>
              <w:rPr>
                <w:color w:val="FF0000"/>
                <w:sz w:val="16"/>
                <w:szCs w:val="16"/>
              </w:rPr>
            </w:pPr>
          </w:p>
        </w:tc>
        <w:tc>
          <w:tcPr>
            <w:tcW w:w="1035" w:type="dxa"/>
            <w:tcBorders>
              <w:right w:val="single" w:sz="4" w:space="0" w:color="auto"/>
            </w:tcBorders>
          </w:tcPr>
          <w:p w14:paraId="0DF318B8" w14:textId="77777777" w:rsidR="00EC6AB5" w:rsidRPr="00F30BA2" w:rsidRDefault="00EC6AB5" w:rsidP="00EC6AB5">
            <w:pPr>
              <w:jc w:val="right"/>
              <w:rPr>
                <w:color w:val="FF0000"/>
                <w:sz w:val="16"/>
                <w:szCs w:val="16"/>
              </w:rPr>
            </w:pPr>
          </w:p>
        </w:tc>
        <w:tc>
          <w:tcPr>
            <w:tcW w:w="1093" w:type="dxa"/>
            <w:tcBorders>
              <w:left w:val="single" w:sz="4" w:space="0" w:color="auto"/>
            </w:tcBorders>
          </w:tcPr>
          <w:p w14:paraId="4207F64D" w14:textId="77777777" w:rsidR="00EC6AB5" w:rsidRPr="00F30BA2" w:rsidRDefault="00EC6AB5" w:rsidP="00EC6AB5">
            <w:pPr>
              <w:jc w:val="right"/>
              <w:rPr>
                <w:color w:val="FF0000"/>
                <w:sz w:val="16"/>
                <w:szCs w:val="16"/>
              </w:rPr>
            </w:pPr>
          </w:p>
        </w:tc>
        <w:tc>
          <w:tcPr>
            <w:tcW w:w="1141" w:type="dxa"/>
          </w:tcPr>
          <w:p w14:paraId="4680CF4C" w14:textId="77777777" w:rsidR="00EC6AB5" w:rsidRPr="00F30BA2" w:rsidRDefault="00EC6AB5" w:rsidP="00EC6AB5">
            <w:pPr>
              <w:jc w:val="right"/>
              <w:rPr>
                <w:color w:val="FF0000"/>
                <w:sz w:val="16"/>
                <w:szCs w:val="16"/>
              </w:rPr>
            </w:pPr>
          </w:p>
        </w:tc>
        <w:tc>
          <w:tcPr>
            <w:tcW w:w="1035" w:type="dxa"/>
          </w:tcPr>
          <w:p w14:paraId="569D82F4" w14:textId="77777777" w:rsidR="00EC6AB5" w:rsidRPr="00F30BA2" w:rsidRDefault="00EC6AB5" w:rsidP="00EC6AB5">
            <w:pPr>
              <w:jc w:val="right"/>
              <w:rPr>
                <w:color w:val="FF0000"/>
                <w:sz w:val="16"/>
                <w:szCs w:val="16"/>
              </w:rPr>
            </w:pPr>
          </w:p>
        </w:tc>
      </w:tr>
      <w:tr w:rsidR="00EC6AB5" w:rsidRPr="007F4514" w14:paraId="56B4B5D0" w14:textId="77777777" w:rsidTr="00EC6AB5">
        <w:trPr>
          <w:trHeight w:val="284"/>
        </w:trPr>
        <w:tc>
          <w:tcPr>
            <w:tcW w:w="4045" w:type="dxa"/>
          </w:tcPr>
          <w:p w14:paraId="1E33E92A" w14:textId="77777777" w:rsidR="00EC6AB5" w:rsidRPr="00F30BA2" w:rsidRDefault="00EC6AB5" w:rsidP="00EC6AB5">
            <w:pPr>
              <w:tabs>
                <w:tab w:val="left" w:pos="844"/>
                <w:tab w:val="center" w:pos="7230"/>
                <w:tab w:val="left" w:pos="7833"/>
                <w:tab w:val="center" w:pos="9881"/>
              </w:tabs>
              <w:ind w:right="843"/>
              <w:rPr>
                <w:b/>
                <w:bCs/>
                <w:sz w:val="16"/>
                <w:szCs w:val="16"/>
              </w:rPr>
            </w:pPr>
          </w:p>
          <w:p w14:paraId="4884A7EE" w14:textId="77777777" w:rsidR="00EC6AB5" w:rsidRPr="00F30BA2" w:rsidRDefault="00EC6AB5" w:rsidP="00EC6AB5">
            <w:pPr>
              <w:rPr>
                <w:b/>
                <w:bCs/>
                <w:sz w:val="16"/>
                <w:szCs w:val="16"/>
              </w:rPr>
            </w:pPr>
            <w:r w:rsidRPr="00F30BA2">
              <w:rPr>
                <w:b/>
                <w:bCs/>
                <w:sz w:val="16"/>
                <w:szCs w:val="16"/>
              </w:rPr>
              <w:t xml:space="preserve">Net cash and cash equivalents at beginning of year   </w:t>
            </w:r>
          </w:p>
        </w:tc>
        <w:tc>
          <w:tcPr>
            <w:tcW w:w="1093" w:type="dxa"/>
          </w:tcPr>
          <w:p w14:paraId="5D54D9A0" w14:textId="77777777" w:rsidR="00EC6AB5" w:rsidRPr="00F30BA2" w:rsidRDefault="00EC6AB5" w:rsidP="00EC6AB5">
            <w:pPr>
              <w:tabs>
                <w:tab w:val="left" w:pos="793"/>
              </w:tabs>
              <w:ind w:right="31"/>
              <w:jc w:val="right"/>
              <w:rPr>
                <w:b/>
                <w:bCs/>
                <w:sz w:val="16"/>
                <w:szCs w:val="16"/>
              </w:rPr>
            </w:pPr>
          </w:p>
          <w:p w14:paraId="1B2DBBD9" w14:textId="77777777" w:rsidR="00EC6AB5" w:rsidRPr="00F30BA2" w:rsidRDefault="00EC6AB5" w:rsidP="00EC6AB5">
            <w:pPr>
              <w:jc w:val="right"/>
              <w:rPr>
                <w:sz w:val="16"/>
                <w:szCs w:val="16"/>
              </w:rPr>
            </w:pPr>
            <w:r w:rsidRPr="00F30BA2">
              <w:rPr>
                <w:sz w:val="16"/>
                <w:szCs w:val="16"/>
              </w:rPr>
              <w:t>2,574</w:t>
            </w:r>
          </w:p>
        </w:tc>
        <w:tc>
          <w:tcPr>
            <w:tcW w:w="1141" w:type="dxa"/>
          </w:tcPr>
          <w:p w14:paraId="448C3CD0" w14:textId="77777777" w:rsidR="00EC6AB5" w:rsidRPr="00F30BA2" w:rsidRDefault="00EC6AB5" w:rsidP="00EC6AB5">
            <w:pPr>
              <w:tabs>
                <w:tab w:val="left" w:pos="793"/>
              </w:tabs>
              <w:jc w:val="right"/>
              <w:rPr>
                <w:b/>
                <w:bCs/>
                <w:sz w:val="16"/>
                <w:szCs w:val="16"/>
              </w:rPr>
            </w:pPr>
          </w:p>
          <w:p w14:paraId="5305CE41" w14:textId="77777777" w:rsidR="00EC6AB5" w:rsidRPr="00F30BA2" w:rsidRDefault="00EC6AB5" w:rsidP="00EC6AB5">
            <w:pPr>
              <w:jc w:val="right"/>
              <w:rPr>
                <w:sz w:val="16"/>
                <w:szCs w:val="16"/>
              </w:rPr>
            </w:pPr>
            <w:r w:rsidRPr="00F30BA2">
              <w:rPr>
                <w:sz w:val="16"/>
                <w:szCs w:val="16"/>
              </w:rPr>
              <w:t>342</w:t>
            </w:r>
          </w:p>
        </w:tc>
        <w:tc>
          <w:tcPr>
            <w:tcW w:w="1035" w:type="dxa"/>
            <w:tcBorders>
              <w:right w:val="single" w:sz="4" w:space="0" w:color="auto"/>
            </w:tcBorders>
          </w:tcPr>
          <w:p w14:paraId="20C67386" w14:textId="77777777" w:rsidR="00EC6AB5" w:rsidRPr="00F30BA2" w:rsidRDefault="00EC6AB5" w:rsidP="00EC6AB5">
            <w:pPr>
              <w:tabs>
                <w:tab w:val="left" w:pos="793"/>
              </w:tabs>
              <w:jc w:val="right"/>
              <w:rPr>
                <w:b/>
                <w:bCs/>
                <w:sz w:val="16"/>
                <w:szCs w:val="16"/>
              </w:rPr>
            </w:pPr>
          </w:p>
          <w:p w14:paraId="784AA255" w14:textId="77777777" w:rsidR="00EC6AB5" w:rsidRPr="00F30BA2" w:rsidRDefault="00EC6AB5" w:rsidP="00EC6AB5">
            <w:pPr>
              <w:jc w:val="right"/>
              <w:rPr>
                <w:sz w:val="16"/>
                <w:szCs w:val="16"/>
              </w:rPr>
            </w:pPr>
            <w:r w:rsidRPr="00F30BA2">
              <w:rPr>
                <w:sz w:val="16"/>
                <w:szCs w:val="16"/>
              </w:rPr>
              <w:t>2,916</w:t>
            </w:r>
          </w:p>
        </w:tc>
        <w:tc>
          <w:tcPr>
            <w:tcW w:w="1093" w:type="dxa"/>
            <w:tcBorders>
              <w:left w:val="single" w:sz="4" w:space="0" w:color="auto"/>
            </w:tcBorders>
          </w:tcPr>
          <w:p w14:paraId="6242A218" w14:textId="77777777" w:rsidR="00EC6AB5" w:rsidRPr="00F30BA2" w:rsidRDefault="00EC6AB5" w:rsidP="00EC6AB5">
            <w:pPr>
              <w:tabs>
                <w:tab w:val="left" w:pos="793"/>
              </w:tabs>
              <w:jc w:val="right"/>
              <w:rPr>
                <w:sz w:val="16"/>
                <w:szCs w:val="16"/>
              </w:rPr>
            </w:pPr>
          </w:p>
          <w:p w14:paraId="31515F71" w14:textId="77777777" w:rsidR="00EC6AB5" w:rsidRPr="00F30BA2" w:rsidRDefault="00EC6AB5" w:rsidP="00EC6AB5">
            <w:pPr>
              <w:jc w:val="right"/>
              <w:rPr>
                <w:sz w:val="16"/>
                <w:szCs w:val="16"/>
              </w:rPr>
            </w:pPr>
            <w:r w:rsidRPr="00F30BA2">
              <w:rPr>
                <w:sz w:val="16"/>
                <w:szCs w:val="16"/>
              </w:rPr>
              <w:t>7,674</w:t>
            </w:r>
          </w:p>
        </w:tc>
        <w:tc>
          <w:tcPr>
            <w:tcW w:w="1141" w:type="dxa"/>
          </w:tcPr>
          <w:p w14:paraId="19C73B09" w14:textId="77777777" w:rsidR="00EC6AB5" w:rsidRPr="00F30BA2" w:rsidRDefault="00EC6AB5" w:rsidP="00EC6AB5">
            <w:pPr>
              <w:tabs>
                <w:tab w:val="left" w:pos="793"/>
              </w:tabs>
              <w:jc w:val="right"/>
              <w:rPr>
                <w:sz w:val="16"/>
                <w:szCs w:val="16"/>
              </w:rPr>
            </w:pPr>
          </w:p>
          <w:p w14:paraId="0B30789A" w14:textId="77777777" w:rsidR="00EC6AB5" w:rsidRPr="00F30BA2" w:rsidRDefault="00EC6AB5" w:rsidP="00EC6AB5">
            <w:pPr>
              <w:jc w:val="right"/>
              <w:rPr>
                <w:sz w:val="16"/>
                <w:szCs w:val="16"/>
              </w:rPr>
            </w:pPr>
            <w:r w:rsidRPr="00F30BA2">
              <w:rPr>
                <w:sz w:val="16"/>
                <w:szCs w:val="16"/>
              </w:rPr>
              <w:t>(9)</w:t>
            </w:r>
          </w:p>
        </w:tc>
        <w:tc>
          <w:tcPr>
            <w:tcW w:w="1035" w:type="dxa"/>
          </w:tcPr>
          <w:p w14:paraId="5D8F657D" w14:textId="77777777" w:rsidR="00EC6AB5" w:rsidRPr="00F30BA2" w:rsidRDefault="00EC6AB5" w:rsidP="00EC6AB5">
            <w:pPr>
              <w:tabs>
                <w:tab w:val="left" w:pos="0"/>
                <w:tab w:val="left" w:pos="793"/>
              </w:tabs>
              <w:jc w:val="right"/>
              <w:rPr>
                <w:sz w:val="16"/>
                <w:szCs w:val="16"/>
              </w:rPr>
            </w:pPr>
          </w:p>
          <w:p w14:paraId="6135596E" w14:textId="77777777" w:rsidR="00EC6AB5" w:rsidRPr="00F30BA2" w:rsidRDefault="00EC6AB5" w:rsidP="00EC6AB5">
            <w:pPr>
              <w:jc w:val="right"/>
              <w:rPr>
                <w:sz w:val="16"/>
                <w:szCs w:val="16"/>
              </w:rPr>
            </w:pPr>
            <w:r w:rsidRPr="00F30BA2">
              <w:rPr>
                <w:sz w:val="16"/>
                <w:szCs w:val="16"/>
              </w:rPr>
              <w:t>7,665</w:t>
            </w:r>
          </w:p>
        </w:tc>
      </w:tr>
      <w:tr w:rsidR="00EC6AB5" w:rsidRPr="007F4514" w14:paraId="41CB8E87" w14:textId="77777777" w:rsidTr="00EC6AB5">
        <w:trPr>
          <w:trHeight w:val="284"/>
        </w:trPr>
        <w:tc>
          <w:tcPr>
            <w:tcW w:w="4045" w:type="dxa"/>
            <w:tcBorders>
              <w:bottom w:val="single" w:sz="12" w:space="0" w:color="auto"/>
            </w:tcBorders>
          </w:tcPr>
          <w:p w14:paraId="6DAFD922" w14:textId="77777777" w:rsidR="00EC6AB5" w:rsidRPr="00F30BA2" w:rsidRDefault="00EC6AB5" w:rsidP="00EC6AB5">
            <w:pPr>
              <w:tabs>
                <w:tab w:val="left" w:pos="844"/>
                <w:tab w:val="center" w:pos="7230"/>
                <w:tab w:val="left" w:pos="7833"/>
                <w:tab w:val="center" w:pos="9881"/>
              </w:tabs>
              <w:ind w:right="843"/>
              <w:rPr>
                <w:b/>
                <w:bCs/>
                <w:sz w:val="16"/>
                <w:szCs w:val="16"/>
              </w:rPr>
            </w:pPr>
          </w:p>
          <w:p w14:paraId="0E29CEC3" w14:textId="77777777" w:rsidR="00EC6AB5" w:rsidRPr="00F30BA2" w:rsidRDefault="00EC6AB5" w:rsidP="00EC6AB5">
            <w:pPr>
              <w:tabs>
                <w:tab w:val="left" w:pos="844"/>
                <w:tab w:val="center" w:pos="7230"/>
                <w:tab w:val="left" w:pos="7833"/>
                <w:tab w:val="center" w:pos="9881"/>
              </w:tabs>
              <w:ind w:right="843"/>
              <w:rPr>
                <w:b/>
                <w:bCs/>
                <w:sz w:val="16"/>
                <w:szCs w:val="16"/>
              </w:rPr>
            </w:pPr>
            <w:r w:rsidRPr="00F30BA2">
              <w:rPr>
                <w:b/>
                <w:bCs/>
                <w:sz w:val="16"/>
                <w:szCs w:val="16"/>
              </w:rPr>
              <w:t>Net cash and cash equivalents at end of year</w:t>
            </w:r>
          </w:p>
        </w:tc>
        <w:tc>
          <w:tcPr>
            <w:tcW w:w="1093" w:type="dxa"/>
            <w:tcBorders>
              <w:bottom w:val="single" w:sz="12" w:space="0" w:color="auto"/>
            </w:tcBorders>
          </w:tcPr>
          <w:p w14:paraId="071B0C31" w14:textId="77777777" w:rsidR="00EC6AB5" w:rsidRPr="00F30BA2" w:rsidRDefault="00EC6AB5" w:rsidP="00EC6AB5">
            <w:pPr>
              <w:tabs>
                <w:tab w:val="left" w:pos="793"/>
              </w:tabs>
              <w:ind w:right="31"/>
              <w:jc w:val="right"/>
              <w:rPr>
                <w:b/>
                <w:bCs/>
                <w:sz w:val="16"/>
                <w:szCs w:val="16"/>
              </w:rPr>
            </w:pPr>
          </w:p>
          <w:p w14:paraId="33AF5CB6" w14:textId="77777777" w:rsidR="00EC6AB5" w:rsidRPr="00F30BA2" w:rsidRDefault="00EC6AB5" w:rsidP="00EC6AB5">
            <w:pPr>
              <w:tabs>
                <w:tab w:val="left" w:pos="793"/>
              </w:tabs>
              <w:ind w:right="31"/>
              <w:jc w:val="right"/>
              <w:rPr>
                <w:b/>
                <w:bCs/>
                <w:sz w:val="16"/>
                <w:szCs w:val="16"/>
              </w:rPr>
            </w:pPr>
            <w:r w:rsidRPr="00F30BA2">
              <w:rPr>
                <w:b/>
                <w:bCs/>
                <w:sz w:val="16"/>
                <w:szCs w:val="16"/>
              </w:rPr>
              <w:t>3,772</w:t>
            </w:r>
          </w:p>
        </w:tc>
        <w:tc>
          <w:tcPr>
            <w:tcW w:w="1141" w:type="dxa"/>
            <w:tcBorders>
              <w:bottom w:val="single" w:sz="12" w:space="0" w:color="auto"/>
            </w:tcBorders>
          </w:tcPr>
          <w:p w14:paraId="698492B3" w14:textId="77777777" w:rsidR="00EC6AB5" w:rsidRPr="00F30BA2" w:rsidRDefault="00EC6AB5" w:rsidP="00EC6AB5">
            <w:pPr>
              <w:tabs>
                <w:tab w:val="left" w:pos="793"/>
              </w:tabs>
              <w:jc w:val="right"/>
              <w:rPr>
                <w:b/>
                <w:bCs/>
                <w:sz w:val="16"/>
                <w:szCs w:val="16"/>
              </w:rPr>
            </w:pPr>
          </w:p>
          <w:p w14:paraId="1DFCBC0A" w14:textId="77777777" w:rsidR="00EC6AB5" w:rsidRPr="00F30BA2" w:rsidRDefault="00EC6AB5" w:rsidP="00EC6AB5">
            <w:pPr>
              <w:tabs>
                <w:tab w:val="left" w:pos="793"/>
              </w:tabs>
              <w:jc w:val="right"/>
              <w:rPr>
                <w:b/>
                <w:bCs/>
                <w:sz w:val="16"/>
                <w:szCs w:val="16"/>
              </w:rPr>
            </w:pPr>
            <w:r w:rsidRPr="00F30BA2">
              <w:rPr>
                <w:b/>
                <w:bCs/>
                <w:sz w:val="16"/>
                <w:szCs w:val="16"/>
              </w:rPr>
              <w:t>-</w:t>
            </w:r>
          </w:p>
        </w:tc>
        <w:tc>
          <w:tcPr>
            <w:tcW w:w="1035" w:type="dxa"/>
            <w:tcBorders>
              <w:bottom w:val="single" w:sz="12" w:space="0" w:color="auto"/>
              <w:right w:val="single" w:sz="4" w:space="0" w:color="auto"/>
            </w:tcBorders>
          </w:tcPr>
          <w:p w14:paraId="03C68B67" w14:textId="77777777" w:rsidR="00EC6AB5" w:rsidRPr="00F30BA2" w:rsidRDefault="00EC6AB5" w:rsidP="00EC6AB5">
            <w:pPr>
              <w:tabs>
                <w:tab w:val="left" w:pos="793"/>
              </w:tabs>
              <w:jc w:val="right"/>
              <w:rPr>
                <w:b/>
                <w:bCs/>
                <w:sz w:val="16"/>
                <w:szCs w:val="16"/>
              </w:rPr>
            </w:pPr>
          </w:p>
          <w:p w14:paraId="72DE91A2" w14:textId="77777777" w:rsidR="00EC6AB5" w:rsidRPr="00F30BA2" w:rsidRDefault="00EC6AB5" w:rsidP="00EC6AB5">
            <w:pPr>
              <w:tabs>
                <w:tab w:val="left" w:pos="793"/>
              </w:tabs>
              <w:jc w:val="right"/>
              <w:rPr>
                <w:b/>
                <w:bCs/>
                <w:sz w:val="16"/>
                <w:szCs w:val="16"/>
              </w:rPr>
            </w:pPr>
            <w:r w:rsidRPr="00F30BA2">
              <w:rPr>
                <w:b/>
                <w:bCs/>
                <w:sz w:val="16"/>
                <w:szCs w:val="16"/>
              </w:rPr>
              <w:t>3,772</w:t>
            </w:r>
          </w:p>
        </w:tc>
        <w:tc>
          <w:tcPr>
            <w:tcW w:w="1093" w:type="dxa"/>
            <w:tcBorders>
              <w:left w:val="single" w:sz="4" w:space="0" w:color="auto"/>
              <w:bottom w:val="single" w:sz="12" w:space="0" w:color="auto"/>
            </w:tcBorders>
          </w:tcPr>
          <w:p w14:paraId="5F85DBED" w14:textId="77777777" w:rsidR="00EC6AB5" w:rsidRPr="00F30BA2" w:rsidRDefault="00EC6AB5" w:rsidP="00EC6AB5">
            <w:pPr>
              <w:tabs>
                <w:tab w:val="left" w:pos="793"/>
              </w:tabs>
              <w:jc w:val="right"/>
              <w:rPr>
                <w:sz w:val="16"/>
                <w:szCs w:val="16"/>
              </w:rPr>
            </w:pPr>
          </w:p>
          <w:p w14:paraId="2D52F87A" w14:textId="77777777" w:rsidR="00EC6AB5" w:rsidRPr="00F30BA2" w:rsidRDefault="00EC6AB5" w:rsidP="00EC6AB5">
            <w:pPr>
              <w:tabs>
                <w:tab w:val="left" w:pos="793"/>
              </w:tabs>
              <w:jc w:val="right"/>
              <w:rPr>
                <w:sz w:val="16"/>
                <w:szCs w:val="16"/>
              </w:rPr>
            </w:pPr>
            <w:r w:rsidRPr="00F30BA2">
              <w:rPr>
                <w:sz w:val="16"/>
                <w:szCs w:val="16"/>
              </w:rPr>
              <w:t>2,903</w:t>
            </w:r>
          </w:p>
        </w:tc>
        <w:tc>
          <w:tcPr>
            <w:tcW w:w="1141" w:type="dxa"/>
            <w:tcBorders>
              <w:bottom w:val="single" w:sz="12" w:space="0" w:color="auto"/>
            </w:tcBorders>
          </w:tcPr>
          <w:p w14:paraId="631330F1" w14:textId="77777777" w:rsidR="00EC6AB5" w:rsidRPr="00F30BA2" w:rsidRDefault="00EC6AB5" w:rsidP="00EC6AB5">
            <w:pPr>
              <w:tabs>
                <w:tab w:val="left" w:pos="793"/>
              </w:tabs>
              <w:jc w:val="right"/>
              <w:rPr>
                <w:sz w:val="16"/>
                <w:szCs w:val="16"/>
              </w:rPr>
            </w:pPr>
          </w:p>
          <w:p w14:paraId="72497879" w14:textId="77777777" w:rsidR="00EC6AB5" w:rsidRPr="00F30BA2" w:rsidRDefault="00EC6AB5" w:rsidP="00EC6AB5">
            <w:pPr>
              <w:tabs>
                <w:tab w:val="left" w:pos="793"/>
              </w:tabs>
              <w:jc w:val="right"/>
              <w:rPr>
                <w:sz w:val="16"/>
                <w:szCs w:val="16"/>
              </w:rPr>
            </w:pPr>
            <w:r w:rsidRPr="00F30BA2">
              <w:rPr>
                <w:sz w:val="16"/>
                <w:szCs w:val="16"/>
              </w:rPr>
              <w:t>13</w:t>
            </w:r>
          </w:p>
        </w:tc>
        <w:tc>
          <w:tcPr>
            <w:tcW w:w="1035" w:type="dxa"/>
            <w:tcBorders>
              <w:bottom w:val="single" w:sz="12" w:space="0" w:color="auto"/>
            </w:tcBorders>
          </w:tcPr>
          <w:p w14:paraId="079F9B84" w14:textId="77777777" w:rsidR="00EC6AB5" w:rsidRPr="00F30BA2" w:rsidRDefault="00EC6AB5" w:rsidP="00EC6AB5">
            <w:pPr>
              <w:tabs>
                <w:tab w:val="left" w:pos="0"/>
                <w:tab w:val="left" w:pos="793"/>
              </w:tabs>
              <w:jc w:val="right"/>
              <w:rPr>
                <w:sz w:val="16"/>
                <w:szCs w:val="16"/>
              </w:rPr>
            </w:pPr>
          </w:p>
          <w:p w14:paraId="111DDD9D" w14:textId="77777777" w:rsidR="00EC6AB5" w:rsidRPr="00F30BA2" w:rsidRDefault="00EC6AB5" w:rsidP="00EC6AB5">
            <w:pPr>
              <w:tabs>
                <w:tab w:val="left" w:pos="0"/>
                <w:tab w:val="left" w:pos="793"/>
              </w:tabs>
              <w:jc w:val="right"/>
              <w:rPr>
                <w:sz w:val="16"/>
                <w:szCs w:val="16"/>
              </w:rPr>
            </w:pPr>
            <w:r w:rsidRPr="00F30BA2">
              <w:rPr>
                <w:sz w:val="16"/>
                <w:szCs w:val="16"/>
              </w:rPr>
              <w:t>2,916</w:t>
            </w:r>
          </w:p>
        </w:tc>
      </w:tr>
    </w:tbl>
    <w:p w14:paraId="15B6D406" w14:textId="77777777" w:rsidR="004B20D0" w:rsidRPr="007D7456" w:rsidRDefault="004B20D0" w:rsidP="0088277F">
      <w:pPr>
        <w:widowControl w:val="0"/>
        <w:tabs>
          <w:tab w:val="left" w:pos="0"/>
        </w:tabs>
        <w:autoSpaceDE w:val="0"/>
        <w:autoSpaceDN w:val="0"/>
        <w:adjustRightInd w:val="0"/>
        <w:spacing w:after="0" w:line="240" w:lineRule="auto"/>
        <w:ind w:right="941"/>
        <w:rPr>
          <w:rFonts w:eastAsia="Times New Roman" w:cstheme="minorHAnsi"/>
          <w:b/>
          <w:bCs/>
          <w:color w:val="000000"/>
          <w:lang w:eastAsia="en-GB"/>
        </w:rPr>
      </w:pPr>
    </w:p>
    <w:p w14:paraId="0B9D0060" w14:textId="01F223A3" w:rsidR="006768B2" w:rsidRPr="00D47013" w:rsidRDefault="006768B2" w:rsidP="00887F65">
      <w:pPr>
        <w:widowControl w:val="0"/>
        <w:tabs>
          <w:tab w:val="left" w:pos="993"/>
          <w:tab w:val="left" w:pos="1276"/>
        </w:tabs>
        <w:autoSpaceDE w:val="0"/>
        <w:autoSpaceDN w:val="0"/>
        <w:adjustRightInd w:val="0"/>
        <w:spacing w:after="0" w:line="240" w:lineRule="auto"/>
        <w:ind w:right="941"/>
        <w:rPr>
          <w:rFonts w:eastAsia="Times New Roman" w:cstheme="minorHAnsi"/>
          <w:b/>
          <w:bCs/>
          <w:color w:val="000000"/>
          <w:highlight w:val="yellow"/>
          <w:lang w:eastAsia="en-GB"/>
        </w:rPr>
      </w:pPr>
    </w:p>
    <w:p w14:paraId="21241B39" w14:textId="6E6B2C77" w:rsidR="00887F65" w:rsidRPr="00537A04" w:rsidRDefault="006768B2" w:rsidP="00045587">
      <w:pPr>
        <w:rPr>
          <w:rFonts w:eastAsia="Times New Roman" w:cstheme="minorHAnsi"/>
          <w:b/>
          <w:bCs/>
          <w:color w:val="000000"/>
          <w:lang w:eastAsia="en-GB"/>
        </w:rPr>
      </w:pPr>
      <w:r w:rsidRPr="00D47013">
        <w:rPr>
          <w:rFonts w:eastAsia="Times New Roman" w:cstheme="minorHAnsi"/>
          <w:b/>
          <w:bCs/>
          <w:color w:val="000000"/>
          <w:highlight w:val="yellow"/>
          <w:lang w:eastAsia="en-GB"/>
        </w:rPr>
        <w:br w:type="page"/>
      </w:r>
      <w:r w:rsidR="00045587">
        <w:rPr>
          <w:rFonts w:eastAsia="Times New Roman" w:cstheme="minorHAnsi"/>
          <w:b/>
          <w:bCs/>
          <w:color w:val="000000"/>
          <w:lang w:eastAsia="en-GB"/>
        </w:rPr>
        <w:lastRenderedPageBreak/>
        <w:t>A</w:t>
      </w:r>
      <w:r w:rsidR="00887F65" w:rsidRPr="000C38A1">
        <w:rPr>
          <w:rFonts w:eastAsia="Times New Roman" w:cstheme="minorHAnsi"/>
          <w:b/>
          <w:color w:val="000000"/>
          <w:lang w:eastAsia="en-GB"/>
        </w:rPr>
        <w:t>CC</w:t>
      </w:r>
      <w:r w:rsidR="00887F65" w:rsidRPr="00537A04">
        <w:rPr>
          <w:rFonts w:eastAsia="Times New Roman" w:cstheme="minorHAnsi"/>
          <w:b/>
          <w:color w:val="000000"/>
          <w:lang w:eastAsia="en-GB"/>
        </w:rPr>
        <w:t>OUNTING POLICIES</w:t>
      </w:r>
    </w:p>
    <w:p w14:paraId="1CCFDE02" w14:textId="77777777" w:rsidR="00E51963" w:rsidRPr="00537A04" w:rsidRDefault="00E51963" w:rsidP="00E51963">
      <w:pPr>
        <w:widowControl w:val="0"/>
        <w:tabs>
          <w:tab w:val="left" w:pos="941"/>
          <w:tab w:val="left" w:pos="1543"/>
        </w:tabs>
        <w:autoSpaceDE w:val="0"/>
        <w:autoSpaceDN w:val="0"/>
        <w:adjustRightInd w:val="0"/>
        <w:spacing w:after="0" w:line="240" w:lineRule="auto"/>
        <w:ind w:right="941"/>
        <w:rPr>
          <w:rFonts w:eastAsia="Times New Roman" w:cstheme="minorHAnsi"/>
          <w:color w:val="000000"/>
          <w:lang w:eastAsia="en-GB"/>
        </w:rPr>
      </w:pPr>
      <w:r w:rsidRPr="00537A04">
        <w:rPr>
          <w:rFonts w:eastAsia="Times New Roman" w:cstheme="minorHAnsi"/>
          <w:color w:val="000000"/>
          <w:lang w:eastAsia="en-GB"/>
        </w:rPr>
        <w:tab/>
      </w:r>
    </w:p>
    <w:p w14:paraId="7E68802C" w14:textId="5F1EC841" w:rsidR="00E51963" w:rsidRPr="00537A04" w:rsidRDefault="00887F65" w:rsidP="00E51963">
      <w:pPr>
        <w:widowControl w:val="0"/>
        <w:tabs>
          <w:tab w:val="left" w:pos="284"/>
          <w:tab w:val="left" w:pos="1543"/>
        </w:tabs>
        <w:autoSpaceDE w:val="0"/>
        <w:autoSpaceDN w:val="0"/>
        <w:adjustRightInd w:val="0"/>
        <w:spacing w:after="0" w:line="240" w:lineRule="auto"/>
        <w:ind w:right="941"/>
        <w:rPr>
          <w:rFonts w:eastAsia="Times New Roman" w:cstheme="minorHAnsi"/>
          <w:b/>
          <w:bCs/>
          <w:color w:val="000000"/>
          <w:lang w:eastAsia="en-GB"/>
        </w:rPr>
      </w:pPr>
      <w:r w:rsidRPr="00537A04">
        <w:rPr>
          <w:rFonts w:eastAsia="Times New Roman" w:cstheme="minorHAnsi"/>
          <w:b/>
          <w:bCs/>
          <w:color w:val="000000"/>
          <w:lang w:eastAsia="en-GB"/>
        </w:rPr>
        <w:t>Basis of preparation</w:t>
      </w:r>
    </w:p>
    <w:p w14:paraId="7B0F4732" w14:textId="76BA5D1E" w:rsidR="00887F65" w:rsidRPr="00537A04" w:rsidRDefault="00887F65" w:rsidP="00293CB5">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lang w:eastAsia="en-GB"/>
        </w:rPr>
      </w:pPr>
      <w:r w:rsidRPr="00537A04">
        <w:rPr>
          <w:rFonts w:eastAsia="Times New Roman" w:cstheme="minorHAnsi"/>
          <w:color w:val="000000"/>
          <w:lang w:eastAsia="en-GB"/>
        </w:rPr>
        <w:t xml:space="preserve">These financial statements have been prepared in accordance with International Financial Reporting Standards (“IRFS”) as adopted </w:t>
      </w:r>
      <w:r w:rsidR="00A65C6D" w:rsidRPr="00537A04">
        <w:rPr>
          <w:rFonts w:eastAsia="Times New Roman" w:cstheme="minorHAnsi"/>
          <w:color w:val="000000"/>
          <w:lang w:eastAsia="en-GB"/>
        </w:rPr>
        <w:t>in</w:t>
      </w:r>
      <w:r w:rsidRPr="00537A04">
        <w:rPr>
          <w:rFonts w:eastAsia="Times New Roman" w:cstheme="minorHAnsi"/>
          <w:color w:val="000000"/>
          <w:lang w:eastAsia="en-GB"/>
        </w:rPr>
        <w:t xml:space="preserve"> the Uni</w:t>
      </w:r>
      <w:r w:rsidR="00A65C6D" w:rsidRPr="00537A04">
        <w:rPr>
          <w:rFonts w:eastAsia="Times New Roman" w:cstheme="minorHAnsi"/>
          <w:color w:val="000000"/>
          <w:lang w:eastAsia="en-GB"/>
        </w:rPr>
        <w:t>ted Kingdom</w:t>
      </w:r>
      <w:r w:rsidRPr="00537A04">
        <w:rPr>
          <w:rFonts w:eastAsia="Times New Roman" w:cstheme="minorHAnsi"/>
          <w:color w:val="000000"/>
          <w:lang w:eastAsia="en-GB"/>
        </w:rPr>
        <w:t xml:space="preserve"> and </w:t>
      </w:r>
      <w:r w:rsidR="00BC2A64" w:rsidRPr="00537A04">
        <w:rPr>
          <w:rFonts w:eastAsia="Times New Roman" w:cstheme="minorHAnsi"/>
          <w:color w:val="000000"/>
          <w:lang w:eastAsia="en-GB"/>
        </w:rPr>
        <w:t xml:space="preserve">by the </w:t>
      </w:r>
      <w:r w:rsidRPr="00537A04">
        <w:rPr>
          <w:rFonts w:eastAsia="Times New Roman" w:cstheme="minorHAnsi"/>
          <w:color w:val="000000"/>
          <w:lang w:eastAsia="en-GB"/>
        </w:rPr>
        <w:t xml:space="preserve">International </w:t>
      </w:r>
      <w:r w:rsidR="00BC2A64" w:rsidRPr="00537A04">
        <w:rPr>
          <w:rFonts w:eastAsia="Times New Roman" w:cstheme="minorHAnsi"/>
          <w:color w:val="000000"/>
          <w:lang w:eastAsia="en-GB"/>
        </w:rPr>
        <w:t xml:space="preserve">Financial </w:t>
      </w:r>
      <w:r w:rsidRPr="00537A04">
        <w:rPr>
          <w:rFonts w:eastAsia="Times New Roman" w:cstheme="minorHAnsi"/>
          <w:color w:val="000000"/>
          <w:lang w:eastAsia="en-GB"/>
        </w:rPr>
        <w:t>Reporting Interpretations Committee (“IFRIC”) interpretations and with those parts of the Companies Act 2006 applicable to companies reporting under IFRS. The financial statements have been prepared under the historical cost convention.</w:t>
      </w:r>
    </w:p>
    <w:p w14:paraId="7C9D9AEF" w14:textId="77777777" w:rsidR="006768B2" w:rsidRPr="00537A04" w:rsidRDefault="006768B2" w:rsidP="00887F65">
      <w:pPr>
        <w:widowControl w:val="0"/>
        <w:tabs>
          <w:tab w:val="left" w:pos="941"/>
        </w:tabs>
        <w:autoSpaceDE w:val="0"/>
        <w:autoSpaceDN w:val="0"/>
        <w:adjustRightInd w:val="0"/>
        <w:spacing w:after="0" w:line="240" w:lineRule="auto"/>
        <w:ind w:left="941" w:right="941"/>
        <w:rPr>
          <w:rFonts w:eastAsia="Times New Roman" w:cstheme="minorHAnsi"/>
          <w:color w:val="000000"/>
          <w:lang w:eastAsia="en-GB"/>
        </w:rPr>
      </w:pPr>
    </w:p>
    <w:p w14:paraId="142B3E21" w14:textId="70C7446C" w:rsidR="00887F65" w:rsidRPr="00537A04" w:rsidRDefault="00887F65" w:rsidP="00C95C7E">
      <w:pPr>
        <w:pStyle w:val="ListParagraph"/>
        <w:widowControl w:val="0"/>
        <w:numPr>
          <w:ilvl w:val="0"/>
          <w:numId w:val="25"/>
        </w:numPr>
        <w:tabs>
          <w:tab w:val="left" w:pos="0"/>
          <w:tab w:val="left" w:pos="284"/>
        </w:tabs>
        <w:autoSpaceDE w:val="0"/>
        <w:autoSpaceDN w:val="0"/>
        <w:adjustRightInd w:val="0"/>
        <w:spacing w:after="0" w:line="240" w:lineRule="auto"/>
        <w:ind w:right="95" w:hanging="645"/>
        <w:rPr>
          <w:rFonts w:eastAsia="Times New Roman" w:cstheme="minorHAnsi"/>
          <w:b/>
          <w:color w:val="000000"/>
          <w:lang w:eastAsia="en-GB"/>
        </w:rPr>
      </w:pPr>
      <w:r w:rsidRPr="00537A04">
        <w:rPr>
          <w:rFonts w:eastAsia="Times New Roman" w:cstheme="minorHAnsi"/>
          <w:b/>
          <w:color w:val="000000"/>
          <w:lang w:eastAsia="en-GB"/>
        </w:rPr>
        <w:t>SEGMENTAL REPORTING</w:t>
      </w:r>
    </w:p>
    <w:p w14:paraId="59FB404B" w14:textId="77777777" w:rsidR="00887F65" w:rsidRPr="00537A04" w:rsidRDefault="00887F65" w:rsidP="00C95C7E">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lang w:eastAsia="en-GB"/>
        </w:rPr>
      </w:pPr>
    </w:p>
    <w:p w14:paraId="5ED8F91D" w14:textId="77777777" w:rsidR="00A417C5" w:rsidRPr="00A417C5" w:rsidRDefault="00A417C5" w:rsidP="00A417C5">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lang w:eastAsia="en-GB"/>
        </w:rPr>
      </w:pPr>
      <w:r w:rsidRPr="00A417C5">
        <w:rPr>
          <w:rFonts w:eastAsia="Times New Roman" w:cstheme="minorHAnsi"/>
          <w:color w:val="000000"/>
          <w:lang w:eastAsia="en-GB"/>
        </w:rPr>
        <w:t>The Group provides a range of financial services and product offerings throughout the UK. This financial year has seen the Group has amend its reporting on a segmental basis to more accurately reflect the fact it has only two core trading divisions, namely: Asset Finance and Invoice Finance. The Group’s ancillary product offerings, Commercial Loans and Vehicles fleet brokering are included within the Asset Finance segment as they operate under the same management team, office locations and with the same back-office teams.</w:t>
      </w:r>
    </w:p>
    <w:p w14:paraId="44D9BA7B" w14:textId="77777777" w:rsidR="00A417C5" w:rsidRPr="00A417C5" w:rsidRDefault="00A417C5" w:rsidP="00A417C5">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lang w:eastAsia="en-GB"/>
        </w:rPr>
      </w:pPr>
    </w:p>
    <w:p w14:paraId="6FD3DE91" w14:textId="77777777" w:rsidR="00A417C5" w:rsidRDefault="00A417C5" w:rsidP="00A417C5">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lang w:eastAsia="en-GB"/>
        </w:rPr>
      </w:pPr>
      <w:r w:rsidRPr="00A417C5">
        <w:rPr>
          <w:rFonts w:eastAsia="Times New Roman" w:cstheme="minorHAnsi"/>
          <w:color w:val="000000"/>
          <w:lang w:eastAsia="en-GB"/>
        </w:rPr>
        <w:t>The operating segments, therefore, reflect the Group’s organisational and management structures. The Group reports internally on these segments in order to assess performance and allocate resources. The segments are differentiated by the type of products provided.</w:t>
      </w:r>
    </w:p>
    <w:p w14:paraId="4651D977" w14:textId="77777777" w:rsidR="008A3993" w:rsidRPr="00A417C5" w:rsidRDefault="008A3993" w:rsidP="00A417C5">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lang w:eastAsia="en-GB"/>
        </w:rPr>
      </w:pPr>
    </w:p>
    <w:p w14:paraId="2E0E515F" w14:textId="68E8058A" w:rsidR="00A417C5" w:rsidRPr="00A417C5" w:rsidRDefault="008A3993" w:rsidP="00A417C5">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lang w:eastAsia="en-GB"/>
        </w:rPr>
      </w:pPr>
      <w:r>
        <w:rPr>
          <w:rFonts w:eastAsia="Times New Roman" w:cstheme="minorHAnsi"/>
          <w:color w:val="000000"/>
          <w:lang w:eastAsia="en-GB"/>
        </w:rPr>
        <w:t xml:space="preserve">The </w:t>
      </w:r>
      <w:r w:rsidRPr="00A417C5">
        <w:rPr>
          <w:rFonts w:eastAsia="Times New Roman" w:cstheme="minorHAnsi"/>
          <w:color w:val="000000"/>
          <w:lang w:eastAsia="en-GB"/>
        </w:rPr>
        <w:t xml:space="preserve">segmental results and comparatives are presented with intergroup charges allocated to each division based on actual revenues generated. Intergroup expenses are recharged at cost and largely comprise; plc Board and listing costs, Marketing, Compliance, IT and Human Resource costs. </w:t>
      </w:r>
    </w:p>
    <w:tbl>
      <w:tblPr>
        <w:tblpPr w:leftFromText="180" w:rightFromText="180" w:vertAnchor="text" w:horzAnchor="margin" w:tblpY="201"/>
        <w:tblW w:w="9164" w:type="dxa"/>
        <w:tblLook w:val="04A0" w:firstRow="1" w:lastRow="0" w:firstColumn="1" w:lastColumn="0" w:noHBand="0" w:noVBand="1"/>
      </w:tblPr>
      <w:tblGrid>
        <w:gridCol w:w="4254"/>
        <w:gridCol w:w="1356"/>
        <w:gridCol w:w="1233"/>
        <w:gridCol w:w="1171"/>
        <w:gridCol w:w="1150"/>
      </w:tblGrid>
      <w:tr w:rsidR="008A3993" w:rsidRPr="008A3993" w14:paraId="1DE3AE9B" w14:textId="77777777" w:rsidTr="00705078">
        <w:trPr>
          <w:trHeight w:val="852"/>
        </w:trPr>
        <w:tc>
          <w:tcPr>
            <w:tcW w:w="4254" w:type="dxa"/>
            <w:tcBorders>
              <w:top w:val="nil"/>
              <w:left w:val="nil"/>
              <w:bottom w:val="nil"/>
              <w:right w:val="nil"/>
            </w:tcBorders>
            <w:shd w:val="clear" w:color="auto" w:fill="auto"/>
            <w:noWrap/>
            <w:vAlign w:val="center"/>
            <w:hideMark/>
          </w:tcPr>
          <w:p w14:paraId="2F6C1039"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For the year ended 31 May 2023</w:t>
            </w:r>
          </w:p>
        </w:tc>
        <w:tc>
          <w:tcPr>
            <w:tcW w:w="1356" w:type="dxa"/>
            <w:tcBorders>
              <w:top w:val="nil"/>
              <w:left w:val="nil"/>
              <w:bottom w:val="nil"/>
              <w:right w:val="nil"/>
            </w:tcBorders>
            <w:shd w:val="clear" w:color="auto" w:fill="auto"/>
            <w:vAlign w:val="center"/>
            <w:hideMark/>
          </w:tcPr>
          <w:p w14:paraId="5FB7275B"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Asset</w:t>
            </w:r>
          </w:p>
          <w:p w14:paraId="106DC74C"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Finance £'000</w:t>
            </w:r>
          </w:p>
        </w:tc>
        <w:tc>
          <w:tcPr>
            <w:tcW w:w="1233" w:type="dxa"/>
            <w:tcBorders>
              <w:top w:val="nil"/>
              <w:left w:val="nil"/>
              <w:bottom w:val="nil"/>
              <w:right w:val="nil"/>
            </w:tcBorders>
            <w:shd w:val="clear" w:color="auto" w:fill="auto"/>
            <w:vAlign w:val="center"/>
            <w:hideMark/>
          </w:tcPr>
          <w:p w14:paraId="5E835E0A"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Invoice Finance</w:t>
            </w:r>
          </w:p>
          <w:p w14:paraId="70BB7EA5"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£'000</w:t>
            </w:r>
          </w:p>
        </w:tc>
        <w:tc>
          <w:tcPr>
            <w:tcW w:w="1171" w:type="dxa"/>
            <w:tcBorders>
              <w:top w:val="nil"/>
              <w:left w:val="nil"/>
              <w:bottom w:val="nil"/>
              <w:right w:val="nil"/>
            </w:tcBorders>
            <w:vAlign w:val="center"/>
          </w:tcPr>
          <w:p w14:paraId="63F6780D"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Other £’000</w:t>
            </w:r>
          </w:p>
        </w:tc>
        <w:tc>
          <w:tcPr>
            <w:tcW w:w="1150" w:type="dxa"/>
            <w:tcBorders>
              <w:top w:val="nil"/>
              <w:left w:val="nil"/>
              <w:bottom w:val="nil"/>
              <w:right w:val="nil"/>
            </w:tcBorders>
            <w:shd w:val="clear" w:color="auto" w:fill="auto"/>
            <w:vAlign w:val="center"/>
            <w:hideMark/>
          </w:tcPr>
          <w:p w14:paraId="01686B29"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TOTAL £'000</w:t>
            </w:r>
          </w:p>
        </w:tc>
      </w:tr>
      <w:tr w:rsidR="008A3993" w:rsidRPr="008A3993" w14:paraId="384B93DB" w14:textId="77777777" w:rsidTr="00705078">
        <w:trPr>
          <w:trHeight w:val="282"/>
        </w:trPr>
        <w:tc>
          <w:tcPr>
            <w:tcW w:w="4254" w:type="dxa"/>
            <w:tcBorders>
              <w:top w:val="nil"/>
              <w:left w:val="nil"/>
              <w:right w:val="nil"/>
            </w:tcBorders>
            <w:shd w:val="clear" w:color="auto" w:fill="auto"/>
            <w:noWrap/>
            <w:vAlign w:val="center"/>
            <w:hideMark/>
          </w:tcPr>
          <w:p w14:paraId="028BCD04"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Revenue</w:t>
            </w:r>
          </w:p>
        </w:tc>
        <w:tc>
          <w:tcPr>
            <w:tcW w:w="1356" w:type="dxa"/>
            <w:tcBorders>
              <w:top w:val="nil"/>
              <w:left w:val="nil"/>
              <w:right w:val="nil"/>
            </w:tcBorders>
            <w:shd w:val="clear" w:color="auto" w:fill="auto"/>
            <w:noWrap/>
            <w:vAlign w:val="bottom"/>
            <w:hideMark/>
          </w:tcPr>
          <w:p w14:paraId="4844BE83"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16,540</w:t>
            </w:r>
          </w:p>
        </w:tc>
        <w:tc>
          <w:tcPr>
            <w:tcW w:w="1233" w:type="dxa"/>
            <w:tcBorders>
              <w:top w:val="nil"/>
              <w:left w:val="nil"/>
              <w:right w:val="nil"/>
            </w:tcBorders>
            <w:shd w:val="clear" w:color="auto" w:fill="auto"/>
            <w:noWrap/>
            <w:vAlign w:val="bottom"/>
            <w:hideMark/>
          </w:tcPr>
          <w:p w14:paraId="104D90F0"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10,679</w:t>
            </w:r>
          </w:p>
        </w:tc>
        <w:tc>
          <w:tcPr>
            <w:tcW w:w="1171" w:type="dxa"/>
            <w:tcBorders>
              <w:top w:val="nil"/>
              <w:left w:val="nil"/>
              <w:right w:val="nil"/>
            </w:tcBorders>
            <w:shd w:val="clear" w:color="auto" w:fill="auto"/>
            <w:vAlign w:val="bottom"/>
          </w:tcPr>
          <w:p w14:paraId="0ABE01DC"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351</w:t>
            </w:r>
          </w:p>
        </w:tc>
        <w:tc>
          <w:tcPr>
            <w:tcW w:w="1150" w:type="dxa"/>
            <w:tcBorders>
              <w:top w:val="nil"/>
              <w:left w:val="nil"/>
              <w:right w:val="nil"/>
            </w:tcBorders>
            <w:shd w:val="clear" w:color="auto" w:fill="auto"/>
            <w:noWrap/>
            <w:vAlign w:val="bottom"/>
            <w:hideMark/>
          </w:tcPr>
          <w:p w14:paraId="365A1104"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27,570</w:t>
            </w:r>
          </w:p>
        </w:tc>
      </w:tr>
      <w:tr w:rsidR="008A3993" w:rsidRPr="008A3993" w14:paraId="693C82EE" w14:textId="77777777" w:rsidTr="00705078">
        <w:trPr>
          <w:trHeight w:val="282"/>
        </w:trPr>
        <w:tc>
          <w:tcPr>
            <w:tcW w:w="4254" w:type="dxa"/>
            <w:tcBorders>
              <w:top w:val="nil"/>
              <w:left w:val="nil"/>
              <w:bottom w:val="single" w:sz="4" w:space="0" w:color="auto"/>
              <w:right w:val="nil"/>
            </w:tcBorders>
            <w:shd w:val="clear" w:color="auto" w:fill="auto"/>
            <w:noWrap/>
            <w:vAlign w:val="center"/>
            <w:hideMark/>
          </w:tcPr>
          <w:p w14:paraId="54FF4FE5"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Cost of sales</w:t>
            </w:r>
          </w:p>
        </w:tc>
        <w:tc>
          <w:tcPr>
            <w:tcW w:w="1356" w:type="dxa"/>
            <w:tcBorders>
              <w:top w:val="nil"/>
              <w:left w:val="nil"/>
              <w:bottom w:val="single" w:sz="4" w:space="0" w:color="auto"/>
              <w:right w:val="nil"/>
            </w:tcBorders>
            <w:shd w:val="clear" w:color="auto" w:fill="auto"/>
            <w:noWrap/>
            <w:vAlign w:val="bottom"/>
            <w:hideMark/>
          </w:tcPr>
          <w:p w14:paraId="61A8EE37"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(8,389)</w:t>
            </w:r>
          </w:p>
        </w:tc>
        <w:tc>
          <w:tcPr>
            <w:tcW w:w="1233" w:type="dxa"/>
            <w:tcBorders>
              <w:top w:val="nil"/>
              <w:left w:val="nil"/>
              <w:bottom w:val="single" w:sz="4" w:space="0" w:color="auto"/>
              <w:right w:val="nil"/>
            </w:tcBorders>
            <w:shd w:val="clear" w:color="auto" w:fill="auto"/>
            <w:noWrap/>
            <w:vAlign w:val="bottom"/>
            <w:hideMark/>
          </w:tcPr>
          <w:p w14:paraId="28C78EA5"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(2,784)</w:t>
            </w:r>
          </w:p>
        </w:tc>
        <w:tc>
          <w:tcPr>
            <w:tcW w:w="1171" w:type="dxa"/>
            <w:tcBorders>
              <w:top w:val="nil"/>
              <w:left w:val="nil"/>
              <w:bottom w:val="single" w:sz="4" w:space="0" w:color="auto"/>
              <w:right w:val="nil"/>
            </w:tcBorders>
            <w:shd w:val="clear" w:color="auto" w:fill="auto"/>
            <w:vAlign w:val="bottom"/>
          </w:tcPr>
          <w:p w14:paraId="0AB8218B"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(226)</w:t>
            </w:r>
          </w:p>
        </w:tc>
        <w:tc>
          <w:tcPr>
            <w:tcW w:w="1150" w:type="dxa"/>
            <w:tcBorders>
              <w:top w:val="nil"/>
              <w:left w:val="nil"/>
              <w:bottom w:val="single" w:sz="4" w:space="0" w:color="auto"/>
              <w:right w:val="nil"/>
            </w:tcBorders>
            <w:shd w:val="clear" w:color="auto" w:fill="auto"/>
            <w:noWrap/>
            <w:vAlign w:val="bottom"/>
            <w:hideMark/>
          </w:tcPr>
          <w:p w14:paraId="54EB7D8E"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(11,399)</w:t>
            </w:r>
          </w:p>
        </w:tc>
      </w:tr>
      <w:tr w:rsidR="008A3993" w:rsidRPr="008A3993" w14:paraId="665F8BCC" w14:textId="77777777" w:rsidTr="00705078">
        <w:trPr>
          <w:trHeight w:val="282"/>
        </w:trPr>
        <w:tc>
          <w:tcPr>
            <w:tcW w:w="4254" w:type="dxa"/>
            <w:tcBorders>
              <w:top w:val="single" w:sz="4" w:space="0" w:color="auto"/>
              <w:left w:val="nil"/>
              <w:bottom w:val="nil"/>
              <w:right w:val="nil"/>
            </w:tcBorders>
            <w:shd w:val="clear" w:color="auto" w:fill="auto"/>
            <w:noWrap/>
            <w:vAlign w:val="center"/>
            <w:hideMark/>
          </w:tcPr>
          <w:p w14:paraId="03FF9F0A"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GROSS PROFIT</w:t>
            </w:r>
          </w:p>
        </w:tc>
        <w:tc>
          <w:tcPr>
            <w:tcW w:w="1356" w:type="dxa"/>
            <w:tcBorders>
              <w:top w:val="single" w:sz="4" w:space="0" w:color="auto"/>
              <w:left w:val="nil"/>
              <w:bottom w:val="nil"/>
              <w:right w:val="nil"/>
            </w:tcBorders>
            <w:shd w:val="clear" w:color="auto" w:fill="auto"/>
            <w:noWrap/>
            <w:vAlign w:val="bottom"/>
            <w:hideMark/>
          </w:tcPr>
          <w:p w14:paraId="00850732"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8,151</w:t>
            </w:r>
          </w:p>
        </w:tc>
        <w:tc>
          <w:tcPr>
            <w:tcW w:w="1233" w:type="dxa"/>
            <w:tcBorders>
              <w:top w:val="single" w:sz="4" w:space="0" w:color="auto"/>
              <w:left w:val="nil"/>
              <w:bottom w:val="nil"/>
              <w:right w:val="nil"/>
            </w:tcBorders>
            <w:shd w:val="clear" w:color="auto" w:fill="auto"/>
            <w:noWrap/>
            <w:vAlign w:val="bottom"/>
            <w:hideMark/>
          </w:tcPr>
          <w:p w14:paraId="0A71C45C"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7,895</w:t>
            </w:r>
          </w:p>
        </w:tc>
        <w:tc>
          <w:tcPr>
            <w:tcW w:w="1171" w:type="dxa"/>
            <w:tcBorders>
              <w:top w:val="single" w:sz="4" w:space="0" w:color="auto"/>
              <w:left w:val="nil"/>
              <w:bottom w:val="nil"/>
              <w:right w:val="nil"/>
            </w:tcBorders>
            <w:shd w:val="clear" w:color="auto" w:fill="auto"/>
            <w:vAlign w:val="bottom"/>
          </w:tcPr>
          <w:p w14:paraId="4986C3EE"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125</w:t>
            </w:r>
          </w:p>
        </w:tc>
        <w:tc>
          <w:tcPr>
            <w:tcW w:w="1150" w:type="dxa"/>
            <w:tcBorders>
              <w:top w:val="single" w:sz="4" w:space="0" w:color="auto"/>
              <w:left w:val="nil"/>
              <w:bottom w:val="nil"/>
              <w:right w:val="nil"/>
            </w:tcBorders>
            <w:shd w:val="clear" w:color="auto" w:fill="auto"/>
            <w:noWrap/>
            <w:vAlign w:val="bottom"/>
            <w:hideMark/>
          </w:tcPr>
          <w:p w14:paraId="521763E1"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16,171</w:t>
            </w:r>
          </w:p>
        </w:tc>
      </w:tr>
      <w:tr w:rsidR="008A3993" w:rsidRPr="008A3993" w14:paraId="680A14B5" w14:textId="77777777" w:rsidTr="00705078">
        <w:trPr>
          <w:trHeight w:val="282"/>
        </w:trPr>
        <w:tc>
          <w:tcPr>
            <w:tcW w:w="4254" w:type="dxa"/>
            <w:tcBorders>
              <w:bottom w:val="nil"/>
              <w:right w:val="nil"/>
            </w:tcBorders>
            <w:shd w:val="clear" w:color="auto" w:fill="auto"/>
            <w:noWrap/>
            <w:vAlign w:val="center"/>
            <w:hideMark/>
          </w:tcPr>
          <w:p w14:paraId="5490F91C"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Administrative expenses</w:t>
            </w:r>
          </w:p>
        </w:tc>
        <w:tc>
          <w:tcPr>
            <w:tcW w:w="1356" w:type="dxa"/>
            <w:tcBorders>
              <w:top w:val="nil"/>
              <w:left w:val="nil"/>
              <w:bottom w:val="nil"/>
              <w:right w:val="nil"/>
            </w:tcBorders>
            <w:shd w:val="clear" w:color="auto" w:fill="auto"/>
            <w:noWrap/>
            <w:vAlign w:val="bottom"/>
            <w:hideMark/>
          </w:tcPr>
          <w:p w14:paraId="58B18CB3"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(6,009)</w:t>
            </w:r>
          </w:p>
        </w:tc>
        <w:tc>
          <w:tcPr>
            <w:tcW w:w="1233" w:type="dxa"/>
            <w:tcBorders>
              <w:top w:val="nil"/>
              <w:left w:val="nil"/>
              <w:bottom w:val="nil"/>
              <w:right w:val="nil"/>
            </w:tcBorders>
            <w:shd w:val="clear" w:color="auto" w:fill="auto"/>
            <w:noWrap/>
            <w:vAlign w:val="bottom"/>
            <w:hideMark/>
          </w:tcPr>
          <w:p w14:paraId="2E6F8D97"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(4,040)</w:t>
            </w:r>
          </w:p>
        </w:tc>
        <w:tc>
          <w:tcPr>
            <w:tcW w:w="1171" w:type="dxa"/>
            <w:tcBorders>
              <w:top w:val="nil"/>
              <w:left w:val="nil"/>
              <w:bottom w:val="nil"/>
              <w:right w:val="nil"/>
            </w:tcBorders>
            <w:shd w:val="clear" w:color="auto" w:fill="auto"/>
            <w:vAlign w:val="bottom"/>
          </w:tcPr>
          <w:p w14:paraId="0897962D"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(1,599)</w:t>
            </w:r>
          </w:p>
        </w:tc>
        <w:tc>
          <w:tcPr>
            <w:tcW w:w="1150" w:type="dxa"/>
            <w:tcBorders>
              <w:top w:val="nil"/>
              <w:left w:val="nil"/>
              <w:bottom w:val="nil"/>
              <w:right w:val="nil"/>
            </w:tcBorders>
            <w:shd w:val="clear" w:color="auto" w:fill="auto"/>
            <w:noWrap/>
            <w:vAlign w:val="bottom"/>
            <w:hideMark/>
          </w:tcPr>
          <w:p w14:paraId="3A68F84A"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(11,648)</w:t>
            </w:r>
          </w:p>
        </w:tc>
      </w:tr>
      <w:tr w:rsidR="008A3993" w:rsidRPr="008A3993" w14:paraId="5CF94B06" w14:textId="77777777" w:rsidTr="00705078">
        <w:trPr>
          <w:trHeight w:val="282"/>
        </w:trPr>
        <w:tc>
          <w:tcPr>
            <w:tcW w:w="4254" w:type="dxa"/>
            <w:tcBorders>
              <w:top w:val="nil"/>
              <w:right w:val="nil"/>
            </w:tcBorders>
            <w:shd w:val="clear" w:color="auto" w:fill="auto"/>
            <w:noWrap/>
            <w:vAlign w:val="center"/>
            <w:hideMark/>
          </w:tcPr>
          <w:p w14:paraId="65C95E2F"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Exceptional items</w:t>
            </w:r>
          </w:p>
        </w:tc>
        <w:tc>
          <w:tcPr>
            <w:tcW w:w="1356" w:type="dxa"/>
            <w:tcBorders>
              <w:top w:val="nil"/>
              <w:left w:val="nil"/>
              <w:right w:val="nil"/>
            </w:tcBorders>
            <w:shd w:val="clear" w:color="auto" w:fill="auto"/>
            <w:noWrap/>
            <w:vAlign w:val="bottom"/>
            <w:hideMark/>
          </w:tcPr>
          <w:p w14:paraId="792F29A1"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w:t>
            </w:r>
          </w:p>
        </w:tc>
        <w:tc>
          <w:tcPr>
            <w:tcW w:w="1233" w:type="dxa"/>
            <w:tcBorders>
              <w:top w:val="nil"/>
              <w:left w:val="nil"/>
              <w:right w:val="nil"/>
            </w:tcBorders>
            <w:shd w:val="clear" w:color="auto" w:fill="auto"/>
            <w:noWrap/>
            <w:vAlign w:val="bottom"/>
            <w:hideMark/>
          </w:tcPr>
          <w:p w14:paraId="215D0FA9"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(34)</w:t>
            </w:r>
          </w:p>
        </w:tc>
        <w:tc>
          <w:tcPr>
            <w:tcW w:w="1171" w:type="dxa"/>
            <w:tcBorders>
              <w:top w:val="nil"/>
              <w:left w:val="nil"/>
              <w:right w:val="nil"/>
            </w:tcBorders>
            <w:shd w:val="clear" w:color="auto" w:fill="auto"/>
            <w:vAlign w:val="bottom"/>
          </w:tcPr>
          <w:p w14:paraId="0A2E77C7"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(46)</w:t>
            </w:r>
          </w:p>
        </w:tc>
        <w:tc>
          <w:tcPr>
            <w:tcW w:w="1150" w:type="dxa"/>
            <w:tcBorders>
              <w:top w:val="nil"/>
              <w:left w:val="nil"/>
              <w:right w:val="nil"/>
            </w:tcBorders>
            <w:shd w:val="clear" w:color="auto" w:fill="auto"/>
            <w:noWrap/>
            <w:vAlign w:val="bottom"/>
            <w:hideMark/>
          </w:tcPr>
          <w:p w14:paraId="33B5B54E"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(80)</w:t>
            </w:r>
          </w:p>
        </w:tc>
      </w:tr>
      <w:tr w:rsidR="008A3993" w:rsidRPr="008A3993" w14:paraId="1E07230F" w14:textId="77777777" w:rsidTr="00705078">
        <w:trPr>
          <w:trHeight w:val="282"/>
        </w:trPr>
        <w:tc>
          <w:tcPr>
            <w:tcW w:w="4254" w:type="dxa"/>
            <w:tcBorders>
              <w:top w:val="nil"/>
              <w:bottom w:val="single" w:sz="4" w:space="0" w:color="auto"/>
              <w:right w:val="nil"/>
            </w:tcBorders>
            <w:shd w:val="clear" w:color="auto" w:fill="auto"/>
            <w:noWrap/>
            <w:vAlign w:val="center"/>
            <w:hideMark/>
          </w:tcPr>
          <w:p w14:paraId="62C00F47"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 xml:space="preserve">Share-based payments                      </w:t>
            </w:r>
          </w:p>
        </w:tc>
        <w:tc>
          <w:tcPr>
            <w:tcW w:w="1356" w:type="dxa"/>
            <w:tcBorders>
              <w:top w:val="nil"/>
              <w:left w:val="nil"/>
              <w:bottom w:val="single" w:sz="4" w:space="0" w:color="auto"/>
              <w:right w:val="nil"/>
            </w:tcBorders>
            <w:shd w:val="clear" w:color="auto" w:fill="auto"/>
            <w:noWrap/>
            <w:vAlign w:val="bottom"/>
            <w:hideMark/>
          </w:tcPr>
          <w:p w14:paraId="7D16F86C"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(26)</w:t>
            </w:r>
          </w:p>
        </w:tc>
        <w:tc>
          <w:tcPr>
            <w:tcW w:w="1233" w:type="dxa"/>
            <w:tcBorders>
              <w:top w:val="nil"/>
              <w:left w:val="nil"/>
              <w:bottom w:val="single" w:sz="4" w:space="0" w:color="auto"/>
              <w:right w:val="nil"/>
            </w:tcBorders>
            <w:shd w:val="clear" w:color="auto" w:fill="auto"/>
            <w:noWrap/>
            <w:vAlign w:val="bottom"/>
            <w:hideMark/>
          </w:tcPr>
          <w:p w14:paraId="75453B12"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(11)</w:t>
            </w:r>
          </w:p>
        </w:tc>
        <w:tc>
          <w:tcPr>
            <w:tcW w:w="1171" w:type="dxa"/>
            <w:tcBorders>
              <w:top w:val="nil"/>
              <w:left w:val="nil"/>
              <w:bottom w:val="single" w:sz="4" w:space="0" w:color="auto"/>
              <w:right w:val="nil"/>
            </w:tcBorders>
            <w:shd w:val="clear" w:color="auto" w:fill="auto"/>
            <w:vAlign w:val="bottom"/>
          </w:tcPr>
          <w:p w14:paraId="7BF81AD8"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(88)</w:t>
            </w:r>
          </w:p>
        </w:tc>
        <w:tc>
          <w:tcPr>
            <w:tcW w:w="1150" w:type="dxa"/>
            <w:tcBorders>
              <w:top w:val="nil"/>
              <w:left w:val="nil"/>
              <w:bottom w:val="single" w:sz="4" w:space="0" w:color="auto"/>
              <w:right w:val="nil"/>
            </w:tcBorders>
            <w:shd w:val="clear" w:color="auto" w:fill="auto"/>
            <w:noWrap/>
            <w:vAlign w:val="bottom"/>
            <w:hideMark/>
          </w:tcPr>
          <w:p w14:paraId="782AD3AA"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(125)</w:t>
            </w:r>
          </w:p>
        </w:tc>
      </w:tr>
      <w:tr w:rsidR="008A3993" w:rsidRPr="008A3993" w14:paraId="5B518334" w14:textId="77777777" w:rsidTr="00705078">
        <w:trPr>
          <w:trHeight w:val="282"/>
        </w:trPr>
        <w:tc>
          <w:tcPr>
            <w:tcW w:w="4254" w:type="dxa"/>
            <w:tcBorders>
              <w:top w:val="single" w:sz="4" w:space="0" w:color="auto"/>
              <w:left w:val="nil"/>
              <w:bottom w:val="nil"/>
              <w:right w:val="nil"/>
            </w:tcBorders>
            <w:shd w:val="clear" w:color="auto" w:fill="auto"/>
            <w:noWrap/>
            <w:vAlign w:val="center"/>
            <w:hideMark/>
          </w:tcPr>
          <w:p w14:paraId="157D7597"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OPERATING PROFIT</w:t>
            </w:r>
          </w:p>
        </w:tc>
        <w:tc>
          <w:tcPr>
            <w:tcW w:w="1356" w:type="dxa"/>
            <w:tcBorders>
              <w:top w:val="single" w:sz="4" w:space="0" w:color="auto"/>
              <w:left w:val="nil"/>
              <w:bottom w:val="nil"/>
              <w:right w:val="nil"/>
            </w:tcBorders>
            <w:shd w:val="clear" w:color="auto" w:fill="auto"/>
            <w:noWrap/>
            <w:vAlign w:val="bottom"/>
            <w:hideMark/>
          </w:tcPr>
          <w:p w14:paraId="0914DE67"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2,116</w:t>
            </w:r>
          </w:p>
        </w:tc>
        <w:tc>
          <w:tcPr>
            <w:tcW w:w="1233" w:type="dxa"/>
            <w:tcBorders>
              <w:top w:val="single" w:sz="4" w:space="0" w:color="auto"/>
              <w:left w:val="nil"/>
              <w:bottom w:val="nil"/>
              <w:right w:val="nil"/>
            </w:tcBorders>
            <w:shd w:val="clear" w:color="auto" w:fill="auto"/>
            <w:noWrap/>
            <w:vAlign w:val="bottom"/>
            <w:hideMark/>
          </w:tcPr>
          <w:p w14:paraId="00A4BFE8"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3,810</w:t>
            </w:r>
          </w:p>
        </w:tc>
        <w:tc>
          <w:tcPr>
            <w:tcW w:w="1171" w:type="dxa"/>
            <w:tcBorders>
              <w:top w:val="single" w:sz="4" w:space="0" w:color="auto"/>
              <w:left w:val="nil"/>
              <w:bottom w:val="nil"/>
              <w:right w:val="nil"/>
            </w:tcBorders>
            <w:shd w:val="clear" w:color="auto" w:fill="auto"/>
            <w:vAlign w:val="bottom"/>
          </w:tcPr>
          <w:p w14:paraId="4B62DA62"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(1,608)</w:t>
            </w:r>
          </w:p>
        </w:tc>
        <w:tc>
          <w:tcPr>
            <w:tcW w:w="1150" w:type="dxa"/>
            <w:tcBorders>
              <w:top w:val="single" w:sz="4" w:space="0" w:color="auto"/>
              <w:left w:val="nil"/>
              <w:bottom w:val="nil"/>
              <w:right w:val="nil"/>
            </w:tcBorders>
            <w:shd w:val="clear" w:color="auto" w:fill="auto"/>
            <w:noWrap/>
            <w:vAlign w:val="bottom"/>
            <w:hideMark/>
          </w:tcPr>
          <w:p w14:paraId="2A60B6CC"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4,318</w:t>
            </w:r>
          </w:p>
        </w:tc>
      </w:tr>
      <w:tr w:rsidR="008A3993" w:rsidRPr="008A3993" w14:paraId="48BFC516" w14:textId="77777777" w:rsidTr="00705078">
        <w:trPr>
          <w:trHeight w:val="282"/>
        </w:trPr>
        <w:tc>
          <w:tcPr>
            <w:tcW w:w="4254" w:type="dxa"/>
            <w:tcBorders>
              <w:top w:val="nil"/>
              <w:left w:val="nil"/>
              <w:bottom w:val="nil"/>
              <w:right w:val="nil"/>
            </w:tcBorders>
            <w:shd w:val="clear" w:color="auto" w:fill="auto"/>
            <w:noWrap/>
            <w:vAlign w:val="center"/>
            <w:hideMark/>
          </w:tcPr>
          <w:p w14:paraId="022FB044"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Finance costs</w:t>
            </w:r>
          </w:p>
        </w:tc>
        <w:tc>
          <w:tcPr>
            <w:tcW w:w="1356" w:type="dxa"/>
            <w:tcBorders>
              <w:top w:val="nil"/>
              <w:left w:val="nil"/>
              <w:bottom w:val="nil"/>
              <w:right w:val="nil"/>
            </w:tcBorders>
            <w:shd w:val="clear" w:color="auto" w:fill="auto"/>
            <w:noWrap/>
            <w:vAlign w:val="bottom"/>
            <w:hideMark/>
          </w:tcPr>
          <w:p w14:paraId="7A89C471"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(75)</w:t>
            </w:r>
          </w:p>
        </w:tc>
        <w:tc>
          <w:tcPr>
            <w:tcW w:w="1233" w:type="dxa"/>
            <w:tcBorders>
              <w:top w:val="nil"/>
              <w:left w:val="nil"/>
              <w:bottom w:val="nil"/>
              <w:right w:val="nil"/>
            </w:tcBorders>
            <w:shd w:val="clear" w:color="auto" w:fill="auto"/>
            <w:noWrap/>
            <w:vAlign w:val="bottom"/>
            <w:hideMark/>
          </w:tcPr>
          <w:p w14:paraId="1242158C"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(14)</w:t>
            </w:r>
          </w:p>
        </w:tc>
        <w:tc>
          <w:tcPr>
            <w:tcW w:w="1171" w:type="dxa"/>
            <w:tcBorders>
              <w:top w:val="nil"/>
              <w:left w:val="nil"/>
              <w:bottom w:val="nil"/>
              <w:right w:val="nil"/>
            </w:tcBorders>
            <w:shd w:val="clear" w:color="auto" w:fill="auto"/>
            <w:vAlign w:val="bottom"/>
          </w:tcPr>
          <w:p w14:paraId="0C415508"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(63)</w:t>
            </w:r>
          </w:p>
        </w:tc>
        <w:tc>
          <w:tcPr>
            <w:tcW w:w="1150" w:type="dxa"/>
            <w:tcBorders>
              <w:top w:val="nil"/>
              <w:left w:val="nil"/>
              <w:bottom w:val="nil"/>
              <w:right w:val="nil"/>
            </w:tcBorders>
            <w:shd w:val="clear" w:color="auto" w:fill="auto"/>
            <w:noWrap/>
            <w:vAlign w:val="bottom"/>
            <w:hideMark/>
          </w:tcPr>
          <w:p w14:paraId="4167DE16"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(152)</w:t>
            </w:r>
          </w:p>
        </w:tc>
      </w:tr>
      <w:tr w:rsidR="008A3993" w:rsidRPr="008A3993" w14:paraId="7BDA8216" w14:textId="77777777" w:rsidTr="00705078">
        <w:trPr>
          <w:trHeight w:val="282"/>
        </w:trPr>
        <w:tc>
          <w:tcPr>
            <w:tcW w:w="4254" w:type="dxa"/>
            <w:tcBorders>
              <w:top w:val="nil"/>
              <w:left w:val="nil"/>
              <w:bottom w:val="nil"/>
              <w:right w:val="nil"/>
            </w:tcBorders>
            <w:shd w:val="clear" w:color="auto" w:fill="auto"/>
            <w:noWrap/>
            <w:vAlign w:val="center"/>
            <w:hideMark/>
          </w:tcPr>
          <w:p w14:paraId="7FF8C7B0"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Finance income</w:t>
            </w:r>
          </w:p>
        </w:tc>
        <w:tc>
          <w:tcPr>
            <w:tcW w:w="1356" w:type="dxa"/>
            <w:tcBorders>
              <w:top w:val="nil"/>
              <w:left w:val="nil"/>
              <w:bottom w:val="nil"/>
              <w:right w:val="nil"/>
            </w:tcBorders>
            <w:shd w:val="clear" w:color="auto" w:fill="auto"/>
            <w:noWrap/>
            <w:vAlign w:val="bottom"/>
            <w:hideMark/>
          </w:tcPr>
          <w:p w14:paraId="06119DF5"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w:t>
            </w:r>
          </w:p>
        </w:tc>
        <w:tc>
          <w:tcPr>
            <w:tcW w:w="1233" w:type="dxa"/>
            <w:tcBorders>
              <w:top w:val="nil"/>
              <w:left w:val="nil"/>
              <w:bottom w:val="nil"/>
              <w:right w:val="nil"/>
            </w:tcBorders>
            <w:shd w:val="clear" w:color="auto" w:fill="auto"/>
            <w:noWrap/>
            <w:vAlign w:val="bottom"/>
            <w:hideMark/>
          </w:tcPr>
          <w:p w14:paraId="6CE56C95"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w:t>
            </w:r>
          </w:p>
        </w:tc>
        <w:tc>
          <w:tcPr>
            <w:tcW w:w="1171" w:type="dxa"/>
            <w:tcBorders>
              <w:top w:val="nil"/>
              <w:left w:val="nil"/>
              <w:bottom w:val="nil"/>
              <w:right w:val="nil"/>
            </w:tcBorders>
            <w:shd w:val="clear" w:color="auto" w:fill="auto"/>
            <w:vAlign w:val="bottom"/>
          </w:tcPr>
          <w:p w14:paraId="38839341"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w:t>
            </w:r>
          </w:p>
        </w:tc>
        <w:tc>
          <w:tcPr>
            <w:tcW w:w="1150" w:type="dxa"/>
            <w:tcBorders>
              <w:top w:val="nil"/>
              <w:left w:val="nil"/>
              <w:bottom w:val="nil"/>
              <w:right w:val="nil"/>
            </w:tcBorders>
            <w:shd w:val="clear" w:color="auto" w:fill="auto"/>
            <w:noWrap/>
            <w:vAlign w:val="bottom"/>
            <w:hideMark/>
          </w:tcPr>
          <w:p w14:paraId="2AB4F9A9"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1</w:t>
            </w:r>
          </w:p>
        </w:tc>
      </w:tr>
      <w:tr w:rsidR="008A3993" w:rsidRPr="008A3993" w14:paraId="78D36B5F" w14:textId="77777777" w:rsidTr="00705078">
        <w:trPr>
          <w:trHeight w:val="282"/>
        </w:trPr>
        <w:tc>
          <w:tcPr>
            <w:tcW w:w="4254" w:type="dxa"/>
            <w:tcBorders>
              <w:top w:val="single" w:sz="4" w:space="0" w:color="auto"/>
              <w:left w:val="nil"/>
              <w:bottom w:val="nil"/>
              <w:right w:val="nil"/>
            </w:tcBorders>
            <w:shd w:val="clear" w:color="auto" w:fill="auto"/>
            <w:vAlign w:val="center"/>
            <w:hideMark/>
          </w:tcPr>
          <w:p w14:paraId="34117B39"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 xml:space="preserve">PROFIT BEFORE INCOME TAX </w:t>
            </w:r>
          </w:p>
        </w:tc>
        <w:tc>
          <w:tcPr>
            <w:tcW w:w="1356" w:type="dxa"/>
            <w:tcBorders>
              <w:top w:val="single" w:sz="4" w:space="0" w:color="auto"/>
              <w:left w:val="nil"/>
              <w:bottom w:val="nil"/>
              <w:right w:val="nil"/>
            </w:tcBorders>
            <w:shd w:val="clear" w:color="auto" w:fill="auto"/>
            <w:noWrap/>
            <w:vAlign w:val="bottom"/>
            <w:hideMark/>
          </w:tcPr>
          <w:p w14:paraId="1DB1150C"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2,042</w:t>
            </w:r>
          </w:p>
        </w:tc>
        <w:tc>
          <w:tcPr>
            <w:tcW w:w="1233" w:type="dxa"/>
            <w:tcBorders>
              <w:top w:val="single" w:sz="4" w:space="0" w:color="auto"/>
              <w:left w:val="nil"/>
              <w:bottom w:val="nil"/>
              <w:right w:val="nil"/>
            </w:tcBorders>
            <w:shd w:val="clear" w:color="auto" w:fill="auto"/>
            <w:noWrap/>
            <w:vAlign w:val="bottom"/>
            <w:hideMark/>
          </w:tcPr>
          <w:p w14:paraId="2D8130F2"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3,796</w:t>
            </w:r>
          </w:p>
        </w:tc>
        <w:tc>
          <w:tcPr>
            <w:tcW w:w="1171" w:type="dxa"/>
            <w:tcBorders>
              <w:top w:val="single" w:sz="4" w:space="0" w:color="auto"/>
              <w:left w:val="nil"/>
              <w:bottom w:val="nil"/>
              <w:right w:val="nil"/>
            </w:tcBorders>
            <w:shd w:val="clear" w:color="auto" w:fill="auto"/>
            <w:vAlign w:val="bottom"/>
          </w:tcPr>
          <w:p w14:paraId="503F879C"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(1,671)</w:t>
            </w:r>
          </w:p>
        </w:tc>
        <w:tc>
          <w:tcPr>
            <w:tcW w:w="1150" w:type="dxa"/>
            <w:tcBorders>
              <w:top w:val="single" w:sz="4" w:space="0" w:color="auto"/>
              <w:left w:val="nil"/>
              <w:bottom w:val="nil"/>
              <w:right w:val="nil"/>
            </w:tcBorders>
            <w:shd w:val="clear" w:color="auto" w:fill="auto"/>
            <w:noWrap/>
            <w:vAlign w:val="bottom"/>
            <w:hideMark/>
          </w:tcPr>
          <w:p w14:paraId="30424164"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4,167</w:t>
            </w:r>
          </w:p>
        </w:tc>
      </w:tr>
      <w:tr w:rsidR="008A3993" w:rsidRPr="008A3993" w14:paraId="1BEB6A7F" w14:textId="77777777" w:rsidTr="00705078">
        <w:trPr>
          <w:trHeight w:val="282"/>
        </w:trPr>
        <w:tc>
          <w:tcPr>
            <w:tcW w:w="4254" w:type="dxa"/>
            <w:tcBorders>
              <w:top w:val="nil"/>
              <w:left w:val="nil"/>
              <w:right w:val="nil"/>
            </w:tcBorders>
            <w:shd w:val="clear" w:color="auto" w:fill="auto"/>
            <w:vAlign w:val="center"/>
          </w:tcPr>
          <w:p w14:paraId="7D0794A1"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color w:val="000000"/>
                <w:sz w:val="16"/>
                <w:szCs w:val="16"/>
                <w:lang w:eastAsia="en-GB"/>
              </w:rPr>
              <w:t>Intra-group recharges</w:t>
            </w:r>
          </w:p>
        </w:tc>
        <w:tc>
          <w:tcPr>
            <w:tcW w:w="1356" w:type="dxa"/>
            <w:tcBorders>
              <w:top w:val="nil"/>
              <w:left w:val="nil"/>
              <w:bottom w:val="nil"/>
              <w:right w:val="nil"/>
            </w:tcBorders>
            <w:shd w:val="clear" w:color="auto" w:fill="auto"/>
            <w:noWrap/>
            <w:vAlign w:val="bottom"/>
          </w:tcPr>
          <w:p w14:paraId="26DDF015"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(855)</w:t>
            </w:r>
          </w:p>
        </w:tc>
        <w:tc>
          <w:tcPr>
            <w:tcW w:w="1233" w:type="dxa"/>
            <w:tcBorders>
              <w:top w:val="nil"/>
              <w:left w:val="nil"/>
              <w:bottom w:val="nil"/>
              <w:right w:val="nil"/>
            </w:tcBorders>
            <w:shd w:val="clear" w:color="auto" w:fill="auto"/>
            <w:noWrap/>
            <w:vAlign w:val="bottom"/>
          </w:tcPr>
          <w:p w14:paraId="2B501864"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(816)</w:t>
            </w:r>
          </w:p>
        </w:tc>
        <w:tc>
          <w:tcPr>
            <w:tcW w:w="1171" w:type="dxa"/>
            <w:tcBorders>
              <w:top w:val="nil"/>
              <w:left w:val="nil"/>
              <w:bottom w:val="nil"/>
              <w:right w:val="nil"/>
            </w:tcBorders>
            <w:vAlign w:val="bottom"/>
          </w:tcPr>
          <w:p w14:paraId="3AC48819"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1,671</w:t>
            </w:r>
          </w:p>
        </w:tc>
        <w:tc>
          <w:tcPr>
            <w:tcW w:w="1150" w:type="dxa"/>
            <w:tcBorders>
              <w:top w:val="nil"/>
              <w:left w:val="nil"/>
              <w:bottom w:val="nil"/>
              <w:right w:val="nil"/>
            </w:tcBorders>
            <w:shd w:val="clear" w:color="auto" w:fill="auto"/>
            <w:noWrap/>
            <w:vAlign w:val="bottom"/>
          </w:tcPr>
          <w:p w14:paraId="20A603C5"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w:t>
            </w:r>
          </w:p>
        </w:tc>
      </w:tr>
      <w:tr w:rsidR="008A3993" w:rsidRPr="008A3993" w14:paraId="5A3D389C" w14:textId="77777777" w:rsidTr="00705078">
        <w:trPr>
          <w:trHeight w:val="282"/>
        </w:trPr>
        <w:tc>
          <w:tcPr>
            <w:tcW w:w="4254" w:type="dxa"/>
            <w:tcBorders>
              <w:top w:val="single" w:sz="4" w:space="0" w:color="auto"/>
              <w:left w:val="nil"/>
              <w:right w:val="nil"/>
            </w:tcBorders>
            <w:shd w:val="clear" w:color="auto" w:fill="auto"/>
            <w:vAlign w:val="center"/>
          </w:tcPr>
          <w:p w14:paraId="0E5AE55F"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 xml:space="preserve">PROFIT BEFORE INCOME TAX </w:t>
            </w:r>
          </w:p>
        </w:tc>
        <w:tc>
          <w:tcPr>
            <w:tcW w:w="1356" w:type="dxa"/>
            <w:tcBorders>
              <w:top w:val="single" w:sz="4" w:space="0" w:color="auto"/>
              <w:left w:val="nil"/>
              <w:bottom w:val="nil"/>
              <w:right w:val="nil"/>
            </w:tcBorders>
            <w:shd w:val="clear" w:color="auto" w:fill="auto"/>
            <w:noWrap/>
            <w:vAlign w:val="bottom"/>
          </w:tcPr>
          <w:p w14:paraId="501E1958"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1,187</w:t>
            </w:r>
          </w:p>
        </w:tc>
        <w:tc>
          <w:tcPr>
            <w:tcW w:w="1233" w:type="dxa"/>
            <w:tcBorders>
              <w:top w:val="single" w:sz="4" w:space="0" w:color="auto"/>
              <w:left w:val="nil"/>
              <w:bottom w:val="nil"/>
              <w:right w:val="nil"/>
            </w:tcBorders>
            <w:shd w:val="clear" w:color="auto" w:fill="auto"/>
            <w:noWrap/>
            <w:vAlign w:val="bottom"/>
          </w:tcPr>
          <w:p w14:paraId="2DBF28C6"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2,980</w:t>
            </w:r>
          </w:p>
        </w:tc>
        <w:tc>
          <w:tcPr>
            <w:tcW w:w="1171" w:type="dxa"/>
            <w:tcBorders>
              <w:top w:val="single" w:sz="4" w:space="0" w:color="auto"/>
              <w:left w:val="nil"/>
              <w:bottom w:val="nil"/>
              <w:right w:val="nil"/>
            </w:tcBorders>
            <w:vAlign w:val="bottom"/>
          </w:tcPr>
          <w:p w14:paraId="198C0BAC"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color w:val="000000"/>
                <w:sz w:val="16"/>
                <w:szCs w:val="16"/>
                <w:lang w:eastAsia="en-GB"/>
              </w:rPr>
              <w:t>-</w:t>
            </w:r>
          </w:p>
        </w:tc>
        <w:tc>
          <w:tcPr>
            <w:tcW w:w="1150" w:type="dxa"/>
            <w:tcBorders>
              <w:top w:val="single" w:sz="4" w:space="0" w:color="auto"/>
              <w:left w:val="nil"/>
              <w:bottom w:val="nil"/>
              <w:right w:val="nil"/>
            </w:tcBorders>
            <w:shd w:val="clear" w:color="auto" w:fill="auto"/>
            <w:noWrap/>
            <w:vAlign w:val="bottom"/>
          </w:tcPr>
          <w:p w14:paraId="2CA893DC"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4,167</w:t>
            </w:r>
          </w:p>
        </w:tc>
      </w:tr>
      <w:tr w:rsidR="008A3993" w:rsidRPr="008A3993" w14:paraId="285DD32F" w14:textId="77777777" w:rsidTr="00705078">
        <w:trPr>
          <w:trHeight w:val="282"/>
        </w:trPr>
        <w:tc>
          <w:tcPr>
            <w:tcW w:w="4254" w:type="dxa"/>
            <w:tcBorders>
              <w:left w:val="nil"/>
              <w:bottom w:val="single" w:sz="4" w:space="0" w:color="auto"/>
              <w:right w:val="nil"/>
            </w:tcBorders>
            <w:shd w:val="clear" w:color="auto" w:fill="auto"/>
            <w:vAlign w:val="center"/>
          </w:tcPr>
          <w:p w14:paraId="79B1A2C4"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p>
        </w:tc>
        <w:tc>
          <w:tcPr>
            <w:tcW w:w="1356" w:type="dxa"/>
            <w:tcBorders>
              <w:top w:val="nil"/>
              <w:left w:val="nil"/>
              <w:bottom w:val="nil"/>
              <w:right w:val="nil"/>
            </w:tcBorders>
            <w:shd w:val="clear" w:color="auto" w:fill="auto"/>
            <w:noWrap/>
            <w:vAlign w:val="bottom"/>
          </w:tcPr>
          <w:p w14:paraId="2EBE4133"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p>
        </w:tc>
        <w:tc>
          <w:tcPr>
            <w:tcW w:w="1233" w:type="dxa"/>
            <w:tcBorders>
              <w:top w:val="nil"/>
              <w:left w:val="nil"/>
              <w:bottom w:val="nil"/>
              <w:right w:val="nil"/>
            </w:tcBorders>
            <w:shd w:val="clear" w:color="auto" w:fill="auto"/>
            <w:noWrap/>
            <w:vAlign w:val="bottom"/>
          </w:tcPr>
          <w:p w14:paraId="53D80F14"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p>
        </w:tc>
        <w:tc>
          <w:tcPr>
            <w:tcW w:w="1171" w:type="dxa"/>
            <w:tcBorders>
              <w:top w:val="nil"/>
              <w:left w:val="nil"/>
              <w:bottom w:val="nil"/>
              <w:right w:val="nil"/>
            </w:tcBorders>
            <w:vAlign w:val="bottom"/>
          </w:tcPr>
          <w:p w14:paraId="22C74C08"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p>
        </w:tc>
        <w:tc>
          <w:tcPr>
            <w:tcW w:w="1150" w:type="dxa"/>
            <w:tcBorders>
              <w:top w:val="nil"/>
              <w:left w:val="nil"/>
              <w:bottom w:val="nil"/>
              <w:right w:val="nil"/>
            </w:tcBorders>
            <w:shd w:val="clear" w:color="auto" w:fill="auto"/>
            <w:noWrap/>
            <w:vAlign w:val="bottom"/>
          </w:tcPr>
          <w:p w14:paraId="52BC999C"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p>
        </w:tc>
      </w:tr>
      <w:tr w:rsidR="008A3993" w:rsidRPr="008A3993" w14:paraId="179E839C" w14:textId="77777777" w:rsidTr="00705078">
        <w:trPr>
          <w:trHeight w:val="282"/>
        </w:trPr>
        <w:tc>
          <w:tcPr>
            <w:tcW w:w="4254" w:type="dxa"/>
            <w:tcBorders>
              <w:top w:val="single" w:sz="4" w:space="0" w:color="auto"/>
              <w:left w:val="single" w:sz="4" w:space="0" w:color="auto"/>
              <w:bottom w:val="nil"/>
              <w:right w:val="nil"/>
            </w:tcBorders>
            <w:shd w:val="clear" w:color="auto" w:fill="auto"/>
            <w:vAlign w:val="center"/>
          </w:tcPr>
          <w:p w14:paraId="327B7FED"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Adjusted earnings before interest, tax,</w:t>
            </w:r>
            <w:r w:rsidRPr="008A3993">
              <w:rPr>
                <w:rFonts w:eastAsia="Times New Roman" w:cstheme="minorHAnsi"/>
                <w:b/>
                <w:bCs/>
                <w:color w:val="000000"/>
                <w:sz w:val="16"/>
                <w:szCs w:val="16"/>
                <w:lang w:eastAsia="en-GB"/>
              </w:rPr>
              <w:br/>
              <w:t>exceptional items and share-based payments</w:t>
            </w:r>
          </w:p>
        </w:tc>
        <w:tc>
          <w:tcPr>
            <w:tcW w:w="1356" w:type="dxa"/>
            <w:tcBorders>
              <w:top w:val="single" w:sz="4" w:space="0" w:color="auto"/>
              <w:left w:val="nil"/>
              <w:bottom w:val="nil"/>
              <w:right w:val="nil"/>
            </w:tcBorders>
            <w:shd w:val="clear" w:color="auto" w:fill="auto"/>
            <w:noWrap/>
            <w:vAlign w:val="bottom"/>
          </w:tcPr>
          <w:p w14:paraId="46E7765F"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2,068</w:t>
            </w:r>
          </w:p>
        </w:tc>
        <w:tc>
          <w:tcPr>
            <w:tcW w:w="1233" w:type="dxa"/>
            <w:tcBorders>
              <w:top w:val="single" w:sz="4" w:space="0" w:color="auto"/>
              <w:left w:val="nil"/>
              <w:bottom w:val="nil"/>
              <w:right w:val="nil"/>
            </w:tcBorders>
            <w:shd w:val="clear" w:color="auto" w:fill="auto"/>
            <w:noWrap/>
            <w:vAlign w:val="bottom"/>
          </w:tcPr>
          <w:p w14:paraId="38B4FB18"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3,841</w:t>
            </w:r>
          </w:p>
        </w:tc>
        <w:tc>
          <w:tcPr>
            <w:tcW w:w="1171" w:type="dxa"/>
            <w:tcBorders>
              <w:top w:val="single" w:sz="4" w:space="0" w:color="auto"/>
              <w:left w:val="nil"/>
              <w:bottom w:val="nil"/>
              <w:right w:val="nil"/>
            </w:tcBorders>
            <w:vAlign w:val="bottom"/>
          </w:tcPr>
          <w:p w14:paraId="1211A6BB"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(1,534)</w:t>
            </w:r>
          </w:p>
        </w:tc>
        <w:tc>
          <w:tcPr>
            <w:tcW w:w="1150" w:type="dxa"/>
            <w:tcBorders>
              <w:top w:val="single" w:sz="4" w:space="0" w:color="auto"/>
              <w:left w:val="nil"/>
              <w:bottom w:val="nil"/>
              <w:right w:val="single" w:sz="4" w:space="0" w:color="auto"/>
            </w:tcBorders>
            <w:shd w:val="clear" w:color="auto" w:fill="auto"/>
            <w:noWrap/>
            <w:vAlign w:val="bottom"/>
          </w:tcPr>
          <w:p w14:paraId="4A3613B3"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4,372</w:t>
            </w:r>
          </w:p>
        </w:tc>
      </w:tr>
      <w:tr w:rsidR="008A3993" w:rsidRPr="008A3993" w14:paraId="3832F769" w14:textId="77777777" w:rsidTr="00705078">
        <w:trPr>
          <w:trHeight w:val="282"/>
        </w:trPr>
        <w:tc>
          <w:tcPr>
            <w:tcW w:w="4254" w:type="dxa"/>
            <w:tcBorders>
              <w:top w:val="nil"/>
              <w:left w:val="single" w:sz="4" w:space="0" w:color="auto"/>
              <w:right w:val="nil"/>
            </w:tcBorders>
            <w:shd w:val="clear" w:color="auto" w:fill="auto"/>
            <w:vAlign w:val="center"/>
          </w:tcPr>
          <w:p w14:paraId="372BB963"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Exceptional items</w:t>
            </w:r>
          </w:p>
        </w:tc>
        <w:tc>
          <w:tcPr>
            <w:tcW w:w="1356" w:type="dxa"/>
            <w:tcBorders>
              <w:top w:val="nil"/>
              <w:left w:val="nil"/>
              <w:bottom w:val="nil"/>
              <w:right w:val="nil"/>
            </w:tcBorders>
            <w:shd w:val="clear" w:color="auto" w:fill="auto"/>
            <w:noWrap/>
            <w:vAlign w:val="bottom"/>
          </w:tcPr>
          <w:p w14:paraId="2373C9E8"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w:t>
            </w:r>
          </w:p>
        </w:tc>
        <w:tc>
          <w:tcPr>
            <w:tcW w:w="1233" w:type="dxa"/>
            <w:tcBorders>
              <w:top w:val="nil"/>
              <w:left w:val="nil"/>
              <w:bottom w:val="nil"/>
              <w:right w:val="nil"/>
            </w:tcBorders>
            <w:shd w:val="clear" w:color="auto" w:fill="auto"/>
            <w:noWrap/>
            <w:vAlign w:val="bottom"/>
          </w:tcPr>
          <w:p w14:paraId="2C1592F0"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(34)</w:t>
            </w:r>
          </w:p>
        </w:tc>
        <w:tc>
          <w:tcPr>
            <w:tcW w:w="1171" w:type="dxa"/>
            <w:tcBorders>
              <w:top w:val="nil"/>
              <w:left w:val="nil"/>
              <w:bottom w:val="nil"/>
              <w:right w:val="nil"/>
            </w:tcBorders>
            <w:vAlign w:val="bottom"/>
          </w:tcPr>
          <w:p w14:paraId="52B2C9DE"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(46)</w:t>
            </w:r>
          </w:p>
        </w:tc>
        <w:tc>
          <w:tcPr>
            <w:tcW w:w="1150" w:type="dxa"/>
            <w:tcBorders>
              <w:top w:val="nil"/>
              <w:left w:val="nil"/>
              <w:bottom w:val="nil"/>
              <w:right w:val="single" w:sz="4" w:space="0" w:color="auto"/>
            </w:tcBorders>
            <w:shd w:val="clear" w:color="auto" w:fill="auto"/>
            <w:noWrap/>
            <w:vAlign w:val="bottom"/>
          </w:tcPr>
          <w:p w14:paraId="2FF72AD5"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(80)</w:t>
            </w:r>
          </w:p>
        </w:tc>
      </w:tr>
      <w:tr w:rsidR="008A3993" w:rsidRPr="008A3993" w14:paraId="0CA9DC21" w14:textId="77777777" w:rsidTr="00705078">
        <w:trPr>
          <w:trHeight w:val="282"/>
        </w:trPr>
        <w:tc>
          <w:tcPr>
            <w:tcW w:w="4254" w:type="dxa"/>
            <w:tcBorders>
              <w:top w:val="nil"/>
              <w:left w:val="single" w:sz="4" w:space="0" w:color="auto"/>
              <w:bottom w:val="single" w:sz="4" w:space="0" w:color="auto"/>
              <w:right w:val="nil"/>
            </w:tcBorders>
            <w:shd w:val="clear" w:color="auto" w:fill="auto"/>
            <w:vAlign w:val="center"/>
          </w:tcPr>
          <w:p w14:paraId="164A3C4E"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color w:val="000000"/>
                <w:sz w:val="16"/>
                <w:szCs w:val="16"/>
                <w:lang w:eastAsia="en-GB"/>
              </w:rPr>
              <w:t>Share-based payments</w:t>
            </w:r>
          </w:p>
        </w:tc>
        <w:tc>
          <w:tcPr>
            <w:tcW w:w="1356" w:type="dxa"/>
            <w:tcBorders>
              <w:top w:val="nil"/>
              <w:left w:val="nil"/>
              <w:bottom w:val="single" w:sz="4" w:space="0" w:color="auto"/>
              <w:right w:val="nil"/>
            </w:tcBorders>
            <w:shd w:val="clear" w:color="auto" w:fill="auto"/>
            <w:noWrap/>
            <w:vAlign w:val="bottom"/>
          </w:tcPr>
          <w:p w14:paraId="38F848EA"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(26)</w:t>
            </w:r>
          </w:p>
        </w:tc>
        <w:tc>
          <w:tcPr>
            <w:tcW w:w="1233" w:type="dxa"/>
            <w:tcBorders>
              <w:top w:val="nil"/>
              <w:left w:val="nil"/>
              <w:bottom w:val="single" w:sz="4" w:space="0" w:color="auto"/>
              <w:right w:val="nil"/>
            </w:tcBorders>
            <w:shd w:val="clear" w:color="auto" w:fill="auto"/>
            <w:noWrap/>
            <w:vAlign w:val="bottom"/>
          </w:tcPr>
          <w:p w14:paraId="281204E9"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(11)</w:t>
            </w:r>
          </w:p>
        </w:tc>
        <w:tc>
          <w:tcPr>
            <w:tcW w:w="1171" w:type="dxa"/>
            <w:tcBorders>
              <w:top w:val="nil"/>
              <w:left w:val="nil"/>
              <w:bottom w:val="single" w:sz="4" w:space="0" w:color="auto"/>
              <w:right w:val="nil"/>
            </w:tcBorders>
            <w:vAlign w:val="bottom"/>
          </w:tcPr>
          <w:p w14:paraId="5653388F"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(88)</w:t>
            </w:r>
          </w:p>
        </w:tc>
        <w:tc>
          <w:tcPr>
            <w:tcW w:w="1150" w:type="dxa"/>
            <w:tcBorders>
              <w:top w:val="nil"/>
              <w:left w:val="nil"/>
              <w:bottom w:val="single" w:sz="4" w:space="0" w:color="auto"/>
              <w:right w:val="single" w:sz="4" w:space="0" w:color="auto"/>
            </w:tcBorders>
            <w:shd w:val="clear" w:color="auto" w:fill="auto"/>
            <w:noWrap/>
            <w:vAlign w:val="bottom"/>
          </w:tcPr>
          <w:p w14:paraId="51AD9E97"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(125)</w:t>
            </w:r>
          </w:p>
        </w:tc>
      </w:tr>
      <w:tr w:rsidR="008A3993" w:rsidRPr="008A3993" w14:paraId="2F82D035" w14:textId="77777777" w:rsidTr="00705078">
        <w:trPr>
          <w:trHeight w:val="282"/>
        </w:trPr>
        <w:tc>
          <w:tcPr>
            <w:tcW w:w="4254" w:type="dxa"/>
            <w:tcBorders>
              <w:top w:val="single" w:sz="4" w:space="0" w:color="auto"/>
              <w:left w:val="single" w:sz="4" w:space="0" w:color="auto"/>
              <w:bottom w:val="single" w:sz="4" w:space="0" w:color="auto"/>
              <w:right w:val="nil"/>
            </w:tcBorders>
            <w:shd w:val="clear" w:color="auto" w:fill="auto"/>
            <w:vAlign w:val="center"/>
          </w:tcPr>
          <w:p w14:paraId="6B6E8639"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PROFIT BEFORE INCOME TAX</w:t>
            </w:r>
          </w:p>
        </w:tc>
        <w:tc>
          <w:tcPr>
            <w:tcW w:w="1356" w:type="dxa"/>
            <w:tcBorders>
              <w:top w:val="nil"/>
              <w:left w:val="nil"/>
              <w:bottom w:val="single" w:sz="4" w:space="0" w:color="auto"/>
              <w:right w:val="nil"/>
            </w:tcBorders>
            <w:shd w:val="clear" w:color="auto" w:fill="auto"/>
            <w:noWrap/>
            <w:vAlign w:val="bottom"/>
          </w:tcPr>
          <w:p w14:paraId="0A20274E"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2,042</w:t>
            </w:r>
          </w:p>
        </w:tc>
        <w:tc>
          <w:tcPr>
            <w:tcW w:w="1233" w:type="dxa"/>
            <w:tcBorders>
              <w:top w:val="nil"/>
              <w:left w:val="nil"/>
              <w:bottom w:val="single" w:sz="4" w:space="0" w:color="auto"/>
              <w:right w:val="nil"/>
            </w:tcBorders>
            <w:shd w:val="clear" w:color="auto" w:fill="auto"/>
            <w:noWrap/>
            <w:vAlign w:val="bottom"/>
          </w:tcPr>
          <w:p w14:paraId="0E9092B6"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3,796</w:t>
            </w:r>
          </w:p>
        </w:tc>
        <w:tc>
          <w:tcPr>
            <w:tcW w:w="1171" w:type="dxa"/>
            <w:tcBorders>
              <w:top w:val="nil"/>
              <w:left w:val="nil"/>
              <w:bottom w:val="single" w:sz="4" w:space="0" w:color="auto"/>
              <w:right w:val="nil"/>
            </w:tcBorders>
            <w:vAlign w:val="bottom"/>
          </w:tcPr>
          <w:p w14:paraId="5B590C82"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(1,671)</w:t>
            </w:r>
          </w:p>
        </w:tc>
        <w:tc>
          <w:tcPr>
            <w:tcW w:w="1150" w:type="dxa"/>
            <w:tcBorders>
              <w:top w:val="nil"/>
              <w:left w:val="nil"/>
              <w:bottom w:val="single" w:sz="4" w:space="0" w:color="auto"/>
              <w:right w:val="single" w:sz="4" w:space="0" w:color="auto"/>
            </w:tcBorders>
            <w:shd w:val="clear" w:color="auto" w:fill="auto"/>
            <w:noWrap/>
            <w:vAlign w:val="bottom"/>
          </w:tcPr>
          <w:p w14:paraId="0241C081"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4,167</w:t>
            </w:r>
          </w:p>
        </w:tc>
      </w:tr>
    </w:tbl>
    <w:p w14:paraId="6E9B5A05" w14:textId="77777777" w:rsidR="00ED5E50" w:rsidRPr="008A3993" w:rsidRDefault="00ED5E50" w:rsidP="0052688A">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p>
    <w:p w14:paraId="3B058E5F" w14:textId="77777777" w:rsidR="00F01476" w:rsidRDefault="00F01476"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p>
    <w:p w14:paraId="409DC166" w14:textId="77777777" w:rsidR="008A6A03" w:rsidRPr="008A3993" w:rsidRDefault="008A6A0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p>
    <w:tbl>
      <w:tblPr>
        <w:tblW w:w="9104" w:type="dxa"/>
        <w:tblLook w:val="04A0" w:firstRow="1" w:lastRow="0" w:firstColumn="1" w:lastColumn="0" w:noHBand="0" w:noVBand="1"/>
      </w:tblPr>
      <w:tblGrid>
        <w:gridCol w:w="4226"/>
        <w:gridCol w:w="1347"/>
        <w:gridCol w:w="1225"/>
        <w:gridCol w:w="1163"/>
        <w:gridCol w:w="1143"/>
      </w:tblGrid>
      <w:tr w:rsidR="008A3993" w:rsidRPr="008A3993" w14:paraId="5109B33D" w14:textId="77777777" w:rsidTr="00705078">
        <w:trPr>
          <w:trHeight w:val="867"/>
        </w:trPr>
        <w:tc>
          <w:tcPr>
            <w:tcW w:w="4226" w:type="dxa"/>
            <w:tcBorders>
              <w:top w:val="nil"/>
              <w:left w:val="nil"/>
              <w:bottom w:val="nil"/>
              <w:right w:val="nil"/>
            </w:tcBorders>
            <w:shd w:val="clear" w:color="auto" w:fill="auto"/>
            <w:noWrap/>
            <w:vAlign w:val="center"/>
            <w:hideMark/>
          </w:tcPr>
          <w:p w14:paraId="465F76CD" w14:textId="5DC73D7D"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lastRenderedPageBreak/>
              <w:t>For the year ended 31 May 2022 (restated)</w:t>
            </w:r>
          </w:p>
        </w:tc>
        <w:tc>
          <w:tcPr>
            <w:tcW w:w="1347" w:type="dxa"/>
            <w:tcBorders>
              <w:top w:val="nil"/>
              <w:left w:val="nil"/>
              <w:bottom w:val="nil"/>
              <w:right w:val="nil"/>
            </w:tcBorders>
            <w:shd w:val="clear" w:color="auto" w:fill="auto"/>
            <w:vAlign w:val="center"/>
            <w:hideMark/>
          </w:tcPr>
          <w:p w14:paraId="575D6A17"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Asset</w:t>
            </w:r>
          </w:p>
          <w:p w14:paraId="35BBE978"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Finance £'000</w:t>
            </w:r>
          </w:p>
        </w:tc>
        <w:tc>
          <w:tcPr>
            <w:tcW w:w="1225" w:type="dxa"/>
            <w:tcBorders>
              <w:top w:val="nil"/>
              <w:left w:val="nil"/>
              <w:bottom w:val="nil"/>
              <w:right w:val="nil"/>
            </w:tcBorders>
            <w:shd w:val="clear" w:color="auto" w:fill="auto"/>
            <w:vAlign w:val="center"/>
            <w:hideMark/>
          </w:tcPr>
          <w:p w14:paraId="04F876C4"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Invoice Finance</w:t>
            </w:r>
          </w:p>
          <w:p w14:paraId="4AF0EC55"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£'000</w:t>
            </w:r>
          </w:p>
        </w:tc>
        <w:tc>
          <w:tcPr>
            <w:tcW w:w="1163" w:type="dxa"/>
            <w:tcBorders>
              <w:top w:val="nil"/>
              <w:left w:val="nil"/>
              <w:bottom w:val="nil"/>
              <w:right w:val="nil"/>
            </w:tcBorders>
            <w:shd w:val="clear" w:color="auto" w:fill="auto"/>
            <w:vAlign w:val="center"/>
          </w:tcPr>
          <w:p w14:paraId="17A75C63"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Other £’000</w:t>
            </w:r>
          </w:p>
        </w:tc>
        <w:tc>
          <w:tcPr>
            <w:tcW w:w="1143" w:type="dxa"/>
            <w:tcBorders>
              <w:top w:val="nil"/>
              <w:left w:val="nil"/>
              <w:bottom w:val="nil"/>
              <w:right w:val="nil"/>
            </w:tcBorders>
            <w:shd w:val="clear" w:color="auto" w:fill="auto"/>
            <w:vAlign w:val="center"/>
            <w:hideMark/>
          </w:tcPr>
          <w:p w14:paraId="0A8FFDD6"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TOTAL £'000</w:t>
            </w:r>
          </w:p>
        </w:tc>
      </w:tr>
      <w:tr w:rsidR="008A3993" w:rsidRPr="008A3993" w14:paraId="62AB04E2" w14:textId="77777777" w:rsidTr="00705078">
        <w:trPr>
          <w:trHeight w:val="287"/>
        </w:trPr>
        <w:tc>
          <w:tcPr>
            <w:tcW w:w="4226" w:type="dxa"/>
            <w:tcBorders>
              <w:top w:val="nil"/>
              <w:left w:val="nil"/>
              <w:bottom w:val="nil"/>
              <w:right w:val="nil"/>
            </w:tcBorders>
            <w:shd w:val="clear" w:color="auto" w:fill="auto"/>
            <w:noWrap/>
            <w:vAlign w:val="center"/>
            <w:hideMark/>
          </w:tcPr>
          <w:p w14:paraId="004FE366"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Revenue</w:t>
            </w:r>
          </w:p>
        </w:tc>
        <w:tc>
          <w:tcPr>
            <w:tcW w:w="1347" w:type="dxa"/>
            <w:tcBorders>
              <w:top w:val="nil"/>
              <w:left w:val="nil"/>
              <w:bottom w:val="nil"/>
              <w:right w:val="nil"/>
            </w:tcBorders>
            <w:shd w:val="clear" w:color="auto" w:fill="auto"/>
            <w:noWrap/>
            <w:vAlign w:val="bottom"/>
            <w:hideMark/>
          </w:tcPr>
          <w:p w14:paraId="13D36200"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15,810</w:t>
            </w:r>
          </w:p>
        </w:tc>
        <w:tc>
          <w:tcPr>
            <w:tcW w:w="1225" w:type="dxa"/>
            <w:tcBorders>
              <w:top w:val="nil"/>
              <w:left w:val="nil"/>
              <w:bottom w:val="nil"/>
              <w:right w:val="nil"/>
            </w:tcBorders>
            <w:shd w:val="clear" w:color="auto" w:fill="auto"/>
            <w:noWrap/>
            <w:vAlign w:val="bottom"/>
            <w:hideMark/>
          </w:tcPr>
          <w:p w14:paraId="2F635858"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7,809</w:t>
            </w:r>
          </w:p>
        </w:tc>
        <w:tc>
          <w:tcPr>
            <w:tcW w:w="1163" w:type="dxa"/>
            <w:tcBorders>
              <w:top w:val="nil"/>
              <w:left w:val="nil"/>
              <w:bottom w:val="nil"/>
              <w:right w:val="nil"/>
            </w:tcBorders>
            <w:shd w:val="clear" w:color="auto" w:fill="auto"/>
            <w:vAlign w:val="bottom"/>
          </w:tcPr>
          <w:p w14:paraId="1140EE9C"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21</w:t>
            </w:r>
          </w:p>
        </w:tc>
        <w:tc>
          <w:tcPr>
            <w:tcW w:w="1143" w:type="dxa"/>
            <w:tcBorders>
              <w:top w:val="nil"/>
              <w:left w:val="nil"/>
              <w:bottom w:val="nil"/>
              <w:right w:val="nil"/>
            </w:tcBorders>
            <w:shd w:val="clear" w:color="auto" w:fill="auto"/>
            <w:noWrap/>
            <w:vAlign w:val="bottom"/>
            <w:hideMark/>
          </w:tcPr>
          <w:p w14:paraId="030E9D09"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23,640</w:t>
            </w:r>
          </w:p>
        </w:tc>
      </w:tr>
      <w:tr w:rsidR="008A3993" w:rsidRPr="008A3993" w14:paraId="7CBCCB2A" w14:textId="77777777" w:rsidTr="00705078">
        <w:trPr>
          <w:trHeight w:val="287"/>
        </w:trPr>
        <w:tc>
          <w:tcPr>
            <w:tcW w:w="4226" w:type="dxa"/>
            <w:tcBorders>
              <w:top w:val="nil"/>
              <w:left w:val="nil"/>
              <w:bottom w:val="nil"/>
              <w:right w:val="nil"/>
            </w:tcBorders>
            <w:shd w:val="clear" w:color="auto" w:fill="auto"/>
            <w:noWrap/>
            <w:vAlign w:val="center"/>
            <w:hideMark/>
          </w:tcPr>
          <w:p w14:paraId="0E0A27BB"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Cost of sales</w:t>
            </w:r>
          </w:p>
        </w:tc>
        <w:tc>
          <w:tcPr>
            <w:tcW w:w="1347" w:type="dxa"/>
            <w:tcBorders>
              <w:top w:val="nil"/>
              <w:left w:val="nil"/>
              <w:bottom w:val="nil"/>
              <w:right w:val="nil"/>
            </w:tcBorders>
            <w:shd w:val="clear" w:color="auto" w:fill="auto"/>
            <w:noWrap/>
            <w:vAlign w:val="bottom"/>
            <w:hideMark/>
          </w:tcPr>
          <w:p w14:paraId="36A2F053"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(7,380)</w:t>
            </w:r>
          </w:p>
        </w:tc>
        <w:tc>
          <w:tcPr>
            <w:tcW w:w="1225" w:type="dxa"/>
            <w:tcBorders>
              <w:top w:val="nil"/>
              <w:left w:val="nil"/>
              <w:bottom w:val="nil"/>
              <w:right w:val="nil"/>
            </w:tcBorders>
            <w:shd w:val="clear" w:color="auto" w:fill="auto"/>
            <w:noWrap/>
            <w:vAlign w:val="bottom"/>
            <w:hideMark/>
          </w:tcPr>
          <w:p w14:paraId="23EA6D41"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(1,268)</w:t>
            </w:r>
          </w:p>
        </w:tc>
        <w:tc>
          <w:tcPr>
            <w:tcW w:w="1163" w:type="dxa"/>
            <w:tcBorders>
              <w:top w:val="nil"/>
              <w:left w:val="nil"/>
              <w:bottom w:val="nil"/>
              <w:right w:val="nil"/>
            </w:tcBorders>
            <w:shd w:val="clear" w:color="auto" w:fill="auto"/>
            <w:vAlign w:val="bottom"/>
          </w:tcPr>
          <w:p w14:paraId="736E2CEE"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color w:val="000000"/>
                <w:sz w:val="16"/>
                <w:szCs w:val="16"/>
                <w:lang w:eastAsia="en-GB"/>
              </w:rPr>
              <w:t>-</w:t>
            </w:r>
          </w:p>
        </w:tc>
        <w:tc>
          <w:tcPr>
            <w:tcW w:w="1143" w:type="dxa"/>
            <w:tcBorders>
              <w:top w:val="nil"/>
              <w:left w:val="nil"/>
              <w:bottom w:val="nil"/>
              <w:right w:val="nil"/>
            </w:tcBorders>
            <w:shd w:val="clear" w:color="auto" w:fill="auto"/>
            <w:noWrap/>
            <w:vAlign w:val="bottom"/>
            <w:hideMark/>
          </w:tcPr>
          <w:p w14:paraId="64BE89E4"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(8,648)</w:t>
            </w:r>
          </w:p>
        </w:tc>
      </w:tr>
      <w:tr w:rsidR="008A3993" w:rsidRPr="008A3993" w14:paraId="58D47708" w14:textId="77777777" w:rsidTr="00705078">
        <w:trPr>
          <w:trHeight w:val="287"/>
        </w:trPr>
        <w:tc>
          <w:tcPr>
            <w:tcW w:w="4226" w:type="dxa"/>
            <w:tcBorders>
              <w:top w:val="nil"/>
              <w:left w:val="nil"/>
              <w:bottom w:val="nil"/>
              <w:right w:val="nil"/>
            </w:tcBorders>
            <w:shd w:val="clear" w:color="auto" w:fill="auto"/>
            <w:noWrap/>
            <w:vAlign w:val="center"/>
            <w:hideMark/>
          </w:tcPr>
          <w:p w14:paraId="04CF5D15"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GROSS PROFIT</w:t>
            </w:r>
          </w:p>
        </w:tc>
        <w:tc>
          <w:tcPr>
            <w:tcW w:w="1347" w:type="dxa"/>
            <w:tcBorders>
              <w:top w:val="nil"/>
              <w:left w:val="nil"/>
              <w:bottom w:val="nil"/>
              <w:right w:val="nil"/>
            </w:tcBorders>
            <w:shd w:val="clear" w:color="auto" w:fill="auto"/>
            <w:noWrap/>
            <w:vAlign w:val="bottom"/>
            <w:hideMark/>
          </w:tcPr>
          <w:p w14:paraId="22329837"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8,430</w:t>
            </w:r>
          </w:p>
        </w:tc>
        <w:tc>
          <w:tcPr>
            <w:tcW w:w="1225" w:type="dxa"/>
            <w:tcBorders>
              <w:top w:val="nil"/>
              <w:left w:val="nil"/>
              <w:bottom w:val="nil"/>
              <w:right w:val="nil"/>
            </w:tcBorders>
            <w:shd w:val="clear" w:color="auto" w:fill="auto"/>
            <w:noWrap/>
            <w:vAlign w:val="bottom"/>
            <w:hideMark/>
          </w:tcPr>
          <w:p w14:paraId="0A06488E"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6,541</w:t>
            </w:r>
          </w:p>
        </w:tc>
        <w:tc>
          <w:tcPr>
            <w:tcW w:w="1163" w:type="dxa"/>
            <w:tcBorders>
              <w:top w:val="nil"/>
              <w:left w:val="nil"/>
              <w:bottom w:val="nil"/>
              <w:right w:val="nil"/>
            </w:tcBorders>
            <w:shd w:val="clear" w:color="auto" w:fill="auto"/>
            <w:vAlign w:val="bottom"/>
          </w:tcPr>
          <w:p w14:paraId="2E1A2982"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21</w:t>
            </w:r>
          </w:p>
        </w:tc>
        <w:tc>
          <w:tcPr>
            <w:tcW w:w="1143" w:type="dxa"/>
            <w:tcBorders>
              <w:top w:val="nil"/>
              <w:left w:val="nil"/>
              <w:bottom w:val="nil"/>
              <w:right w:val="nil"/>
            </w:tcBorders>
            <w:shd w:val="clear" w:color="auto" w:fill="auto"/>
            <w:noWrap/>
            <w:vAlign w:val="bottom"/>
            <w:hideMark/>
          </w:tcPr>
          <w:p w14:paraId="3CB7235D"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14,992</w:t>
            </w:r>
          </w:p>
        </w:tc>
      </w:tr>
      <w:tr w:rsidR="008A3993" w:rsidRPr="008A3993" w14:paraId="00855C49" w14:textId="77777777" w:rsidTr="00705078">
        <w:trPr>
          <w:trHeight w:val="287"/>
        </w:trPr>
        <w:tc>
          <w:tcPr>
            <w:tcW w:w="4226" w:type="dxa"/>
            <w:tcBorders>
              <w:bottom w:val="nil"/>
              <w:right w:val="nil"/>
            </w:tcBorders>
            <w:shd w:val="clear" w:color="auto" w:fill="auto"/>
            <w:noWrap/>
            <w:vAlign w:val="center"/>
            <w:hideMark/>
          </w:tcPr>
          <w:p w14:paraId="0D800E45"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Administrative expenses</w:t>
            </w:r>
          </w:p>
        </w:tc>
        <w:tc>
          <w:tcPr>
            <w:tcW w:w="1347" w:type="dxa"/>
            <w:tcBorders>
              <w:top w:val="nil"/>
              <w:left w:val="nil"/>
              <w:bottom w:val="nil"/>
              <w:right w:val="nil"/>
            </w:tcBorders>
            <w:shd w:val="clear" w:color="auto" w:fill="auto"/>
            <w:noWrap/>
            <w:vAlign w:val="bottom"/>
            <w:hideMark/>
          </w:tcPr>
          <w:p w14:paraId="04B02A23"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(5,997)</w:t>
            </w:r>
          </w:p>
        </w:tc>
        <w:tc>
          <w:tcPr>
            <w:tcW w:w="1225" w:type="dxa"/>
            <w:tcBorders>
              <w:top w:val="nil"/>
              <w:left w:val="nil"/>
              <w:bottom w:val="nil"/>
              <w:right w:val="nil"/>
            </w:tcBorders>
            <w:shd w:val="clear" w:color="auto" w:fill="auto"/>
            <w:noWrap/>
            <w:vAlign w:val="bottom"/>
            <w:hideMark/>
          </w:tcPr>
          <w:p w14:paraId="754D359C"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(3,078)</w:t>
            </w:r>
          </w:p>
        </w:tc>
        <w:tc>
          <w:tcPr>
            <w:tcW w:w="1163" w:type="dxa"/>
            <w:tcBorders>
              <w:top w:val="nil"/>
              <w:left w:val="nil"/>
              <w:bottom w:val="nil"/>
              <w:right w:val="nil"/>
            </w:tcBorders>
            <w:shd w:val="clear" w:color="auto" w:fill="auto"/>
            <w:vAlign w:val="bottom"/>
          </w:tcPr>
          <w:p w14:paraId="2E0EAB04"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(2,696)</w:t>
            </w:r>
          </w:p>
        </w:tc>
        <w:tc>
          <w:tcPr>
            <w:tcW w:w="1143" w:type="dxa"/>
            <w:tcBorders>
              <w:top w:val="nil"/>
              <w:left w:val="nil"/>
              <w:bottom w:val="nil"/>
              <w:right w:val="nil"/>
            </w:tcBorders>
            <w:shd w:val="clear" w:color="auto" w:fill="auto"/>
            <w:noWrap/>
            <w:vAlign w:val="bottom"/>
            <w:hideMark/>
          </w:tcPr>
          <w:p w14:paraId="03C39059"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(11,771)</w:t>
            </w:r>
          </w:p>
        </w:tc>
      </w:tr>
      <w:tr w:rsidR="008A3993" w:rsidRPr="008A3993" w14:paraId="6BB47884" w14:textId="77777777" w:rsidTr="00705078">
        <w:trPr>
          <w:trHeight w:val="287"/>
        </w:trPr>
        <w:tc>
          <w:tcPr>
            <w:tcW w:w="4226" w:type="dxa"/>
            <w:tcBorders>
              <w:top w:val="nil"/>
              <w:bottom w:val="nil"/>
              <w:right w:val="nil"/>
            </w:tcBorders>
            <w:shd w:val="clear" w:color="auto" w:fill="auto"/>
            <w:noWrap/>
            <w:vAlign w:val="center"/>
            <w:hideMark/>
          </w:tcPr>
          <w:p w14:paraId="1732079B"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Exceptional items</w:t>
            </w:r>
          </w:p>
        </w:tc>
        <w:tc>
          <w:tcPr>
            <w:tcW w:w="1347" w:type="dxa"/>
            <w:tcBorders>
              <w:top w:val="nil"/>
              <w:left w:val="nil"/>
              <w:bottom w:val="nil"/>
              <w:right w:val="nil"/>
            </w:tcBorders>
            <w:shd w:val="clear" w:color="auto" w:fill="auto"/>
            <w:noWrap/>
            <w:vAlign w:val="bottom"/>
            <w:hideMark/>
          </w:tcPr>
          <w:p w14:paraId="755A89CB"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(1,308)</w:t>
            </w:r>
          </w:p>
        </w:tc>
        <w:tc>
          <w:tcPr>
            <w:tcW w:w="1225" w:type="dxa"/>
            <w:tcBorders>
              <w:top w:val="nil"/>
              <w:left w:val="nil"/>
              <w:bottom w:val="nil"/>
              <w:right w:val="nil"/>
            </w:tcBorders>
            <w:shd w:val="clear" w:color="auto" w:fill="auto"/>
            <w:noWrap/>
            <w:vAlign w:val="bottom"/>
            <w:hideMark/>
          </w:tcPr>
          <w:p w14:paraId="2D6516D6"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(76)</w:t>
            </w:r>
          </w:p>
        </w:tc>
        <w:tc>
          <w:tcPr>
            <w:tcW w:w="1163" w:type="dxa"/>
            <w:tcBorders>
              <w:top w:val="nil"/>
              <w:left w:val="nil"/>
              <w:bottom w:val="nil"/>
              <w:right w:val="nil"/>
            </w:tcBorders>
            <w:shd w:val="clear" w:color="auto" w:fill="auto"/>
            <w:vAlign w:val="bottom"/>
          </w:tcPr>
          <w:p w14:paraId="1A29E922"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(485)</w:t>
            </w:r>
          </w:p>
        </w:tc>
        <w:tc>
          <w:tcPr>
            <w:tcW w:w="1143" w:type="dxa"/>
            <w:tcBorders>
              <w:top w:val="nil"/>
              <w:left w:val="nil"/>
              <w:bottom w:val="nil"/>
              <w:right w:val="nil"/>
            </w:tcBorders>
            <w:shd w:val="clear" w:color="auto" w:fill="auto"/>
            <w:noWrap/>
            <w:vAlign w:val="bottom"/>
            <w:hideMark/>
          </w:tcPr>
          <w:p w14:paraId="54E18B93"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(1,869)</w:t>
            </w:r>
          </w:p>
        </w:tc>
      </w:tr>
      <w:tr w:rsidR="008A3993" w:rsidRPr="008A3993" w14:paraId="7A5DAF14" w14:textId="77777777" w:rsidTr="00705078">
        <w:trPr>
          <w:trHeight w:val="287"/>
        </w:trPr>
        <w:tc>
          <w:tcPr>
            <w:tcW w:w="4226" w:type="dxa"/>
            <w:tcBorders>
              <w:top w:val="nil"/>
              <w:right w:val="nil"/>
            </w:tcBorders>
            <w:shd w:val="clear" w:color="auto" w:fill="auto"/>
            <w:noWrap/>
            <w:vAlign w:val="center"/>
            <w:hideMark/>
          </w:tcPr>
          <w:p w14:paraId="0580524C"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 xml:space="preserve">Share-based payments                      </w:t>
            </w:r>
          </w:p>
        </w:tc>
        <w:tc>
          <w:tcPr>
            <w:tcW w:w="1347" w:type="dxa"/>
            <w:tcBorders>
              <w:top w:val="nil"/>
              <w:left w:val="nil"/>
              <w:bottom w:val="nil"/>
              <w:right w:val="nil"/>
            </w:tcBorders>
            <w:shd w:val="clear" w:color="auto" w:fill="auto"/>
            <w:noWrap/>
            <w:vAlign w:val="bottom"/>
            <w:hideMark/>
          </w:tcPr>
          <w:p w14:paraId="26E1E848"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w:t>
            </w:r>
          </w:p>
        </w:tc>
        <w:tc>
          <w:tcPr>
            <w:tcW w:w="1225" w:type="dxa"/>
            <w:tcBorders>
              <w:top w:val="nil"/>
              <w:left w:val="nil"/>
              <w:bottom w:val="nil"/>
              <w:right w:val="nil"/>
            </w:tcBorders>
            <w:shd w:val="clear" w:color="auto" w:fill="auto"/>
            <w:noWrap/>
            <w:vAlign w:val="bottom"/>
            <w:hideMark/>
          </w:tcPr>
          <w:p w14:paraId="4398CE40"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(5)</w:t>
            </w:r>
          </w:p>
        </w:tc>
        <w:tc>
          <w:tcPr>
            <w:tcW w:w="1163" w:type="dxa"/>
            <w:tcBorders>
              <w:top w:val="nil"/>
              <w:left w:val="nil"/>
              <w:bottom w:val="nil"/>
              <w:right w:val="nil"/>
            </w:tcBorders>
            <w:shd w:val="clear" w:color="auto" w:fill="auto"/>
            <w:vAlign w:val="bottom"/>
          </w:tcPr>
          <w:p w14:paraId="582D3AA6"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(38)</w:t>
            </w:r>
          </w:p>
        </w:tc>
        <w:tc>
          <w:tcPr>
            <w:tcW w:w="1143" w:type="dxa"/>
            <w:tcBorders>
              <w:top w:val="nil"/>
              <w:left w:val="nil"/>
              <w:bottom w:val="nil"/>
              <w:right w:val="nil"/>
            </w:tcBorders>
            <w:shd w:val="clear" w:color="auto" w:fill="auto"/>
            <w:noWrap/>
            <w:vAlign w:val="bottom"/>
            <w:hideMark/>
          </w:tcPr>
          <w:p w14:paraId="5A2FE47E"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(43)</w:t>
            </w:r>
          </w:p>
        </w:tc>
      </w:tr>
      <w:tr w:rsidR="008A3993" w:rsidRPr="008A3993" w14:paraId="45E6DAB3" w14:textId="77777777" w:rsidTr="00705078">
        <w:trPr>
          <w:trHeight w:val="287"/>
        </w:trPr>
        <w:tc>
          <w:tcPr>
            <w:tcW w:w="4226" w:type="dxa"/>
            <w:tcBorders>
              <w:top w:val="nil"/>
              <w:left w:val="nil"/>
              <w:bottom w:val="nil"/>
              <w:right w:val="nil"/>
            </w:tcBorders>
            <w:shd w:val="clear" w:color="auto" w:fill="auto"/>
            <w:noWrap/>
            <w:vAlign w:val="center"/>
            <w:hideMark/>
          </w:tcPr>
          <w:p w14:paraId="50204CF3"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OPERATING PROFIT</w:t>
            </w:r>
          </w:p>
        </w:tc>
        <w:tc>
          <w:tcPr>
            <w:tcW w:w="1347" w:type="dxa"/>
            <w:tcBorders>
              <w:top w:val="nil"/>
              <w:left w:val="nil"/>
              <w:bottom w:val="nil"/>
              <w:right w:val="nil"/>
            </w:tcBorders>
            <w:shd w:val="clear" w:color="auto" w:fill="auto"/>
            <w:noWrap/>
            <w:vAlign w:val="bottom"/>
            <w:hideMark/>
          </w:tcPr>
          <w:p w14:paraId="0234F4E0"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1,125</w:t>
            </w:r>
          </w:p>
        </w:tc>
        <w:tc>
          <w:tcPr>
            <w:tcW w:w="1225" w:type="dxa"/>
            <w:tcBorders>
              <w:top w:val="nil"/>
              <w:left w:val="nil"/>
              <w:bottom w:val="nil"/>
              <w:right w:val="nil"/>
            </w:tcBorders>
            <w:shd w:val="clear" w:color="auto" w:fill="auto"/>
            <w:noWrap/>
            <w:vAlign w:val="bottom"/>
            <w:hideMark/>
          </w:tcPr>
          <w:p w14:paraId="44A2ECBF"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3,382</w:t>
            </w:r>
          </w:p>
        </w:tc>
        <w:tc>
          <w:tcPr>
            <w:tcW w:w="1163" w:type="dxa"/>
            <w:tcBorders>
              <w:top w:val="nil"/>
              <w:left w:val="nil"/>
              <w:bottom w:val="nil"/>
              <w:right w:val="nil"/>
            </w:tcBorders>
            <w:shd w:val="clear" w:color="auto" w:fill="auto"/>
            <w:vAlign w:val="bottom"/>
          </w:tcPr>
          <w:p w14:paraId="39613E25"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(3,198)</w:t>
            </w:r>
          </w:p>
        </w:tc>
        <w:tc>
          <w:tcPr>
            <w:tcW w:w="1143" w:type="dxa"/>
            <w:tcBorders>
              <w:top w:val="nil"/>
              <w:left w:val="nil"/>
              <w:bottom w:val="nil"/>
              <w:right w:val="nil"/>
            </w:tcBorders>
            <w:shd w:val="clear" w:color="auto" w:fill="auto"/>
            <w:noWrap/>
            <w:vAlign w:val="bottom"/>
            <w:hideMark/>
          </w:tcPr>
          <w:p w14:paraId="6299EB5B"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1,309</w:t>
            </w:r>
          </w:p>
        </w:tc>
      </w:tr>
      <w:tr w:rsidR="008A3993" w:rsidRPr="008A3993" w14:paraId="0454AFE2" w14:textId="77777777" w:rsidTr="00705078">
        <w:trPr>
          <w:trHeight w:val="287"/>
        </w:trPr>
        <w:tc>
          <w:tcPr>
            <w:tcW w:w="4226" w:type="dxa"/>
            <w:tcBorders>
              <w:top w:val="nil"/>
              <w:left w:val="nil"/>
              <w:bottom w:val="nil"/>
              <w:right w:val="nil"/>
            </w:tcBorders>
            <w:shd w:val="clear" w:color="auto" w:fill="auto"/>
            <w:noWrap/>
            <w:vAlign w:val="center"/>
            <w:hideMark/>
          </w:tcPr>
          <w:p w14:paraId="6BC16293"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Finance costs</w:t>
            </w:r>
          </w:p>
        </w:tc>
        <w:tc>
          <w:tcPr>
            <w:tcW w:w="1347" w:type="dxa"/>
            <w:tcBorders>
              <w:top w:val="nil"/>
              <w:left w:val="nil"/>
              <w:bottom w:val="nil"/>
              <w:right w:val="nil"/>
            </w:tcBorders>
            <w:shd w:val="clear" w:color="auto" w:fill="auto"/>
            <w:noWrap/>
            <w:vAlign w:val="bottom"/>
            <w:hideMark/>
          </w:tcPr>
          <w:p w14:paraId="74EFA32D"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(192)</w:t>
            </w:r>
          </w:p>
        </w:tc>
        <w:tc>
          <w:tcPr>
            <w:tcW w:w="1225" w:type="dxa"/>
            <w:tcBorders>
              <w:top w:val="nil"/>
              <w:left w:val="nil"/>
              <w:bottom w:val="nil"/>
              <w:right w:val="nil"/>
            </w:tcBorders>
            <w:shd w:val="clear" w:color="auto" w:fill="auto"/>
            <w:noWrap/>
            <w:vAlign w:val="bottom"/>
            <w:hideMark/>
          </w:tcPr>
          <w:p w14:paraId="2853E644"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w:t>
            </w:r>
          </w:p>
        </w:tc>
        <w:tc>
          <w:tcPr>
            <w:tcW w:w="1163" w:type="dxa"/>
            <w:tcBorders>
              <w:top w:val="nil"/>
              <w:left w:val="nil"/>
              <w:bottom w:val="nil"/>
              <w:right w:val="nil"/>
            </w:tcBorders>
            <w:shd w:val="clear" w:color="auto" w:fill="auto"/>
            <w:vAlign w:val="bottom"/>
          </w:tcPr>
          <w:p w14:paraId="35B58E5A"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(60)</w:t>
            </w:r>
          </w:p>
        </w:tc>
        <w:tc>
          <w:tcPr>
            <w:tcW w:w="1143" w:type="dxa"/>
            <w:tcBorders>
              <w:top w:val="nil"/>
              <w:left w:val="nil"/>
              <w:bottom w:val="nil"/>
              <w:right w:val="nil"/>
            </w:tcBorders>
            <w:shd w:val="clear" w:color="auto" w:fill="auto"/>
            <w:noWrap/>
            <w:vAlign w:val="bottom"/>
            <w:hideMark/>
          </w:tcPr>
          <w:p w14:paraId="1122EFC2"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(255)</w:t>
            </w:r>
          </w:p>
        </w:tc>
      </w:tr>
      <w:tr w:rsidR="008A3993" w:rsidRPr="008A3993" w14:paraId="59F0C735" w14:textId="77777777" w:rsidTr="00705078">
        <w:trPr>
          <w:trHeight w:val="287"/>
        </w:trPr>
        <w:tc>
          <w:tcPr>
            <w:tcW w:w="4226" w:type="dxa"/>
            <w:tcBorders>
              <w:top w:val="nil"/>
              <w:left w:val="nil"/>
              <w:bottom w:val="nil"/>
              <w:right w:val="nil"/>
            </w:tcBorders>
            <w:shd w:val="clear" w:color="auto" w:fill="auto"/>
            <w:noWrap/>
            <w:vAlign w:val="center"/>
            <w:hideMark/>
          </w:tcPr>
          <w:p w14:paraId="3FEC32BD"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Finance income</w:t>
            </w:r>
          </w:p>
        </w:tc>
        <w:tc>
          <w:tcPr>
            <w:tcW w:w="1347" w:type="dxa"/>
            <w:tcBorders>
              <w:top w:val="nil"/>
              <w:left w:val="nil"/>
              <w:bottom w:val="nil"/>
              <w:right w:val="nil"/>
            </w:tcBorders>
            <w:shd w:val="clear" w:color="auto" w:fill="auto"/>
            <w:noWrap/>
            <w:vAlign w:val="bottom"/>
            <w:hideMark/>
          </w:tcPr>
          <w:p w14:paraId="63635AFE"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w:t>
            </w:r>
          </w:p>
        </w:tc>
        <w:tc>
          <w:tcPr>
            <w:tcW w:w="1225" w:type="dxa"/>
            <w:tcBorders>
              <w:top w:val="nil"/>
              <w:left w:val="nil"/>
              <w:bottom w:val="nil"/>
              <w:right w:val="nil"/>
            </w:tcBorders>
            <w:shd w:val="clear" w:color="auto" w:fill="auto"/>
            <w:noWrap/>
            <w:vAlign w:val="bottom"/>
            <w:hideMark/>
          </w:tcPr>
          <w:p w14:paraId="75A6B669"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w:t>
            </w:r>
          </w:p>
        </w:tc>
        <w:tc>
          <w:tcPr>
            <w:tcW w:w="1163" w:type="dxa"/>
            <w:tcBorders>
              <w:top w:val="nil"/>
              <w:left w:val="nil"/>
              <w:bottom w:val="nil"/>
              <w:right w:val="nil"/>
            </w:tcBorders>
            <w:shd w:val="clear" w:color="auto" w:fill="auto"/>
            <w:vAlign w:val="bottom"/>
          </w:tcPr>
          <w:p w14:paraId="17B0C8D1"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w:t>
            </w:r>
          </w:p>
        </w:tc>
        <w:tc>
          <w:tcPr>
            <w:tcW w:w="1143" w:type="dxa"/>
            <w:tcBorders>
              <w:top w:val="nil"/>
              <w:left w:val="nil"/>
              <w:bottom w:val="nil"/>
              <w:right w:val="nil"/>
            </w:tcBorders>
            <w:shd w:val="clear" w:color="auto" w:fill="auto"/>
            <w:noWrap/>
            <w:vAlign w:val="bottom"/>
            <w:hideMark/>
          </w:tcPr>
          <w:p w14:paraId="7414B857"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1</w:t>
            </w:r>
          </w:p>
        </w:tc>
      </w:tr>
      <w:tr w:rsidR="008A3993" w:rsidRPr="008A3993" w14:paraId="04C7DA51" w14:textId="77777777" w:rsidTr="00705078">
        <w:trPr>
          <w:trHeight w:val="287"/>
        </w:trPr>
        <w:tc>
          <w:tcPr>
            <w:tcW w:w="4226" w:type="dxa"/>
            <w:tcBorders>
              <w:top w:val="single" w:sz="4" w:space="0" w:color="auto"/>
              <w:left w:val="nil"/>
              <w:bottom w:val="nil"/>
              <w:right w:val="nil"/>
            </w:tcBorders>
            <w:shd w:val="clear" w:color="auto" w:fill="auto"/>
            <w:vAlign w:val="center"/>
            <w:hideMark/>
          </w:tcPr>
          <w:p w14:paraId="0824C8B0"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 xml:space="preserve">PROFIT BEFORE INCOME TAX </w:t>
            </w:r>
          </w:p>
        </w:tc>
        <w:tc>
          <w:tcPr>
            <w:tcW w:w="1347" w:type="dxa"/>
            <w:tcBorders>
              <w:top w:val="single" w:sz="4" w:space="0" w:color="auto"/>
              <w:left w:val="nil"/>
              <w:bottom w:val="nil"/>
              <w:right w:val="nil"/>
            </w:tcBorders>
            <w:shd w:val="clear" w:color="auto" w:fill="auto"/>
            <w:noWrap/>
            <w:vAlign w:val="bottom"/>
            <w:hideMark/>
          </w:tcPr>
          <w:p w14:paraId="0633C562"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934</w:t>
            </w:r>
          </w:p>
        </w:tc>
        <w:tc>
          <w:tcPr>
            <w:tcW w:w="1225" w:type="dxa"/>
            <w:tcBorders>
              <w:top w:val="single" w:sz="4" w:space="0" w:color="auto"/>
              <w:left w:val="nil"/>
              <w:bottom w:val="nil"/>
              <w:right w:val="nil"/>
            </w:tcBorders>
            <w:shd w:val="clear" w:color="auto" w:fill="auto"/>
            <w:noWrap/>
            <w:vAlign w:val="bottom"/>
            <w:hideMark/>
          </w:tcPr>
          <w:p w14:paraId="0B27F1FC"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3,379</w:t>
            </w:r>
          </w:p>
        </w:tc>
        <w:tc>
          <w:tcPr>
            <w:tcW w:w="1163" w:type="dxa"/>
            <w:tcBorders>
              <w:top w:val="single" w:sz="4" w:space="0" w:color="auto"/>
              <w:left w:val="nil"/>
              <w:bottom w:val="nil"/>
              <w:right w:val="nil"/>
            </w:tcBorders>
            <w:shd w:val="clear" w:color="auto" w:fill="auto"/>
            <w:vAlign w:val="bottom"/>
          </w:tcPr>
          <w:p w14:paraId="167AF890"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(3,258)</w:t>
            </w:r>
          </w:p>
        </w:tc>
        <w:tc>
          <w:tcPr>
            <w:tcW w:w="1143" w:type="dxa"/>
            <w:tcBorders>
              <w:top w:val="single" w:sz="4" w:space="0" w:color="auto"/>
              <w:left w:val="nil"/>
              <w:bottom w:val="nil"/>
              <w:right w:val="nil"/>
            </w:tcBorders>
            <w:shd w:val="clear" w:color="auto" w:fill="auto"/>
            <w:noWrap/>
            <w:vAlign w:val="bottom"/>
            <w:hideMark/>
          </w:tcPr>
          <w:p w14:paraId="069E5FA4"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1,055</w:t>
            </w:r>
          </w:p>
        </w:tc>
      </w:tr>
      <w:tr w:rsidR="008A3993" w:rsidRPr="008A3993" w14:paraId="15EEC7D5" w14:textId="77777777" w:rsidTr="00705078">
        <w:trPr>
          <w:trHeight w:val="287"/>
        </w:trPr>
        <w:tc>
          <w:tcPr>
            <w:tcW w:w="4226" w:type="dxa"/>
            <w:tcBorders>
              <w:top w:val="nil"/>
              <w:left w:val="nil"/>
              <w:right w:val="nil"/>
            </w:tcBorders>
            <w:shd w:val="clear" w:color="auto" w:fill="auto"/>
            <w:vAlign w:val="center"/>
          </w:tcPr>
          <w:p w14:paraId="4135114E"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color w:val="000000"/>
                <w:sz w:val="16"/>
                <w:szCs w:val="16"/>
                <w:lang w:eastAsia="en-GB"/>
              </w:rPr>
              <w:t>Intra-group recharges</w:t>
            </w:r>
          </w:p>
        </w:tc>
        <w:tc>
          <w:tcPr>
            <w:tcW w:w="1347" w:type="dxa"/>
            <w:tcBorders>
              <w:top w:val="nil"/>
              <w:left w:val="nil"/>
              <w:bottom w:val="nil"/>
              <w:right w:val="nil"/>
            </w:tcBorders>
            <w:shd w:val="clear" w:color="auto" w:fill="auto"/>
            <w:noWrap/>
            <w:vAlign w:val="bottom"/>
          </w:tcPr>
          <w:p w14:paraId="2BE5A5CB"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(2,181)</w:t>
            </w:r>
          </w:p>
        </w:tc>
        <w:tc>
          <w:tcPr>
            <w:tcW w:w="1225" w:type="dxa"/>
            <w:tcBorders>
              <w:top w:val="nil"/>
              <w:left w:val="nil"/>
              <w:bottom w:val="nil"/>
              <w:right w:val="nil"/>
            </w:tcBorders>
            <w:shd w:val="clear" w:color="auto" w:fill="auto"/>
            <w:noWrap/>
            <w:vAlign w:val="bottom"/>
          </w:tcPr>
          <w:p w14:paraId="24162906"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(1,077)</w:t>
            </w:r>
          </w:p>
        </w:tc>
        <w:tc>
          <w:tcPr>
            <w:tcW w:w="1163" w:type="dxa"/>
            <w:tcBorders>
              <w:top w:val="nil"/>
              <w:left w:val="nil"/>
              <w:bottom w:val="nil"/>
              <w:right w:val="nil"/>
            </w:tcBorders>
            <w:vAlign w:val="bottom"/>
          </w:tcPr>
          <w:p w14:paraId="0130A193"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3,258</w:t>
            </w:r>
          </w:p>
        </w:tc>
        <w:tc>
          <w:tcPr>
            <w:tcW w:w="1143" w:type="dxa"/>
            <w:tcBorders>
              <w:top w:val="nil"/>
              <w:left w:val="nil"/>
              <w:bottom w:val="nil"/>
              <w:right w:val="nil"/>
            </w:tcBorders>
            <w:shd w:val="clear" w:color="auto" w:fill="auto"/>
            <w:noWrap/>
            <w:vAlign w:val="bottom"/>
          </w:tcPr>
          <w:p w14:paraId="41B34870"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w:t>
            </w:r>
          </w:p>
        </w:tc>
      </w:tr>
      <w:tr w:rsidR="008A3993" w:rsidRPr="008A3993" w14:paraId="71BB21D6" w14:textId="77777777" w:rsidTr="00705078">
        <w:trPr>
          <w:trHeight w:val="287"/>
        </w:trPr>
        <w:tc>
          <w:tcPr>
            <w:tcW w:w="4226" w:type="dxa"/>
            <w:tcBorders>
              <w:top w:val="single" w:sz="4" w:space="0" w:color="auto"/>
              <w:left w:val="nil"/>
              <w:right w:val="nil"/>
            </w:tcBorders>
            <w:shd w:val="clear" w:color="auto" w:fill="auto"/>
            <w:vAlign w:val="center"/>
          </w:tcPr>
          <w:p w14:paraId="3AB8F9E2"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 xml:space="preserve">PROFIT BEFORE INCOME TAX </w:t>
            </w:r>
          </w:p>
        </w:tc>
        <w:tc>
          <w:tcPr>
            <w:tcW w:w="1347" w:type="dxa"/>
            <w:tcBorders>
              <w:top w:val="single" w:sz="4" w:space="0" w:color="auto"/>
              <w:left w:val="nil"/>
              <w:bottom w:val="nil"/>
              <w:right w:val="nil"/>
            </w:tcBorders>
            <w:shd w:val="clear" w:color="auto" w:fill="auto"/>
            <w:noWrap/>
            <w:vAlign w:val="bottom"/>
          </w:tcPr>
          <w:p w14:paraId="655713D6"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(1,247)</w:t>
            </w:r>
          </w:p>
        </w:tc>
        <w:tc>
          <w:tcPr>
            <w:tcW w:w="1225" w:type="dxa"/>
            <w:tcBorders>
              <w:top w:val="single" w:sz="4" w:space="0" w:color="auto"/>
              <w:left w:val="nil"/>
              <w:bottom w:val="nil"/>
              <w:right w:val="nil"/>
            </w:tcBorders>
            <w:shd w:val="clear" w:color="auto" w:fill="auto"/>
            <w:noWrap/>
            <w:vAlign w:val="bottom"/>
          </w:tcPr>
          <w:p w14:paraId="58A0F68C"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2,302</w:t>
            </w:r>
          </w:p>
        </w:tc>
        <w:tc>
          <w:tcPr>
            <w:tcW w:w="1163" w:type="dxa"/>
            <w:tcBorders>
              <w:top w:val="single" w:sz="4" w:space="0" w:color="auto"/>
              <w:left w:val="nil"/>
              <w:bottom w:val="nil"/>
              <w:right w:val="nil"/>
            </w:tcBorders>
            <w:vAlign w:val="bottom"/>
          </w:tcPr>
          <w:p w14:paraId="321F31BA"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color w:val="000000"/>
                <w:sz w:val="16"/>
                <w:szCs w:val="16"/>
                <w:lang w:eastAsia="en-GB"/>
              </w:rPr>
              <w:t>-</w:t>
            </w:r>
          </w:p>
        </w:tc>
        <w:tc>
          <w:tcPr>
            <w:tcW w:w="1143" w:type="dxa"/>
            <w:tcBorders>
              <w:top w:val="single" w:sz="4" w:space="0" w:color="auto"/>
              <w:left w:val="nil"/>
              <w:bottom w:val="nil"/>
              <w:right w:val="nil"/>
            </w:tcBorders>
            <w:shd w:val="clear" w:color="auto" w:fill="auto"/>
            <w:noWrap/>
            <w:vAlign w:val="bottom"/>
          </w:tcPr>
          <w:p w14:paraId="71C37061"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1,055</w:t>
            </w:r>
          </w:p>
        </w:tc>
      </w:tr>
      <w:tr w:rsidR="008A3993" w:rsidRPr="008A3993" w14:paraId="5D94DAFF" w14:textId="77777777" w:rsidTr="00705078">
        <w:trPr>
          <w:trHeight w:val="287"/>
        </w:trPr>
        <w:tc>
          <w:tcPr>
            <w:tcW w:w="4226" w:type="dxa"/>
            <w:tcBorders>
              <w:left w:val="nil"/>
              <w:bottom w:val="single" w:sz="4" w:space="0" w:color="auto"/>
              <w:right w:val="nil"/>
            </w:tcBorders>
            <w:shd w:val="clear" w:color="auto" w:fill="auto"/>
            <w:vAlign w:val="center"/>
          </w:tcPr>
          <w:p w14:paraId="330DFE76"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p>
        </w:tc>
        <w:tc>
          <w:tcPr>
            <w:tcW w:w="1347" w:type="dxa"/>
            <w:tcBorders>
              <w:top w:val="nil"/>
              <w:left w:val="nil"/>
              <w:bottom w:val="nil"/>
              <w:right w:val="nil"/>
            </w:tcBorders>
            <w:shd w:val="clear" w:color="auto" w:fill="auto"/>
            <w:noWrap/>
            <w:vAlign w:val="bottom"/>
          </w:tcPr>
          <w:p w14:paraId="3AE7C81D"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p>
        </w:tc>
        <w:tc>
          <w:tcPr>
            <w:tcW w:w="1225" w:type="dxa"/>
            <w:tcBorders>
              <w:top w:val="nil"/>
              <w:left w:val="nil"/>
              <w:bottom w:val="nil"/>
              <w:right w:val="nil"/>
            </w:tcBorders>
            <w:shd w:val="clear" w:color="auto" w:fill="auto"/>
            <w:noWrap/>
            <w:vAlign w:val="bottom"/>
          </w:tcPr>
          <w:p w14:paraId="68F4D2CE"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p>
        </w:tc>
        <w:tc>
          <w:tcPr>
            <w:tcW w:w="1163" w:type="dxa"/>
            <w:tcBorders>
              <w:top w:val="nil"/>
              <w:left w:val="nil"/>
              <w:bottom w:val="nil"/>
              <w:right w:val="nil"/>
            </w:tcBorders>
            <w:vAlign w:val="bottom"/>
          </w:tcPr>
          <w:p w14:paraId="1348139D"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p>
        </w:tc>
        <w:tc>
          <w:tcPr>
            <w:tcW w:w="1143" w:type="dxa"/>
            <w:tcBorders>
              <w:top w:val="nil"/>
              <w:left w:val="nil"/>
              <w:bottom w:val="nil"/>
              <w:right w:val="nil"/>
            </w:tcBorders>
            <w:shd w:val="clear" w:color="auto" w:fill="auto"/>
            <w:noWrap/>
            <w:vAlign w:val="bottom"/>
          </w:tcPr>
          <w:p w14:paraId="4F251B4B"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p>
        </w:tc>
      </w:tr>
      <w:tr w:rsidR="008A3993" w:rsidRPr="008A3993" w14:paraId="33BE49AF" w14:textId="77777777" w:rsidTr="00705078">
        <w:trPr>
          <w:trHeight w:val="287"/>
        </w:trPr>
        <w:tc>
          <w:tcPr>
            <w:tcW w:w="4226" w:type="dxa"/>
            <w:tcBorders>
              <w:top w:val="single" w:sz="4" w:space="0" w:color="auto"/>
              <w:left w:val="single" w:sz="4" w:space="0" w:color="auto"/>
              <w:bottom w:val="nil"/>
              <w:right w:val="nil"/>
            </w:tcBorders>
            <w:shd w:val="clear" w:color="auto" w:fill="auto"/>
            <w:vAlign w:val="center"/>
          </w:tcPr>
          <w:p w14:paraId="32A23ECE"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Adjusted earnings before interest, tax,</w:t>
            </w:r>
            <w:r w:rsidRPr="008A3993">
              <w:rPr>
                <w:rFonts w:eastAsia="Times New Roman" w:cstheme="minorHAnsi"/>
                <w:b/>
                <w:bCs/>
                <w:color w:val="000000"/>
                <w:sz w:val="16"/>
                <w:szCs w:val="16"/>
                <w:lang w:eastAsia="en-GB"/>
              </w:rPr>
              <w:br/>
              <w:t>exceptional items and share-based payments</w:t>
            </w:r>
          </w:p>
        </w:tc>
        <w:tc>
          <w:tcPr>
            <w:tcW w:w="1347" w:type="dxa"/>
            <w:tcBorders>
              <w:top w:val="single" w:sz="4" w:space="0" w:color="auto"/>
              <w:left w:val="nil"/>
              <w:bottom w:val="nil"/>
              <w:right w:val="nil"/>
            </w:tcBorders>
            <w:shd w:val="clear" w:color="auto" w:fill="auto"/>
            <w:noWrap/>
            <w:vAlign w:val="bottom"/>
          </w:tcPr>
          <w:p w14:paraId="15503A55"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2,242</w:t>
            </w:r>
          </w:p>
        </w:tc>
        <w:tc>
          <w:tcPr>
            <w:tcW w:w="1225" w:type="dxa"/>
            <w:tcBorders>
              <w:top w:val="single" w:sz="4" w:space="0" w:color="auto"/>
              <w:left w:val="nil"/>
              <w:bottom w:val="nil"/>
              <w:right w:val="nil"/>
            </w:tcBorders>
            <w:shd w:val="clear" w:color="auto" w:fill="auto"/>
            <w:noWrap/>
            <w:vAlign w:val="bottom"/>
          </w:tcPr>
          <w:p w14:paraId="41DA8C05"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3,460</w:t>
            </w:r>
          </w:p>
        </w:tc>
        <w:tc>
          <w:tcPr>
            <w:tcW w:w="1163" w:type="dxa"/>
            <w:tcBorders>
              <w:top w:val="single" w:sz="4" w:space="0" w:color="auto"/>
              <w:left w:val="nil"/>
              <w:bottom w:val="nil"/>
              <w:right w:val="nil"/>
            </w:tcBorders>
            <w:vAlign w:val="bottom"/>
          </w:tcPr>
          <w:p w14:paraId="783A7E0B"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(2,735)</w:t>
            </w:r>
          </w:p>
        </w:tc>
        <w:tc>
          <w:tcPr>
            <w:tcW w:w="1143" w:type="dxa"/>
            <w:tcBorders>
              <w:top w:val="single" w:sz="4" w:space="0" w:color="auto"/>
              <w:left w:val="nil"/>
              <w:bottom w:val="nil"/>
              <w:right w:val="single" w:sz="4" w:space="0" w:color="auto"/>
            </w:tcBorders>
            <w:shd w:val="clear" w:color="auto" w:fill="auto"/>
            <w:noWrap/>
            <w:vAlign w:val="bottom"/>
          </w:tcPr>
          <w:p w14:paraId="77027137"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2,967</w:t>
            </w:r>
          </w:p>
        </w:tc>
      </w:tr>
      <w:tr w:rsidR="008A3993" w:rsidRPr="008A3993" w14:paraId="04B0CFA8" w14:textId="77777777" w:rsidTr="00705078">
        <w:trPr>
          <w:trHeight w:val="287"/>
        </w:trPr>
        <w:tc>
          <w:tcPr>
            <w:tcW w:w="4226" w:type="dxa"/>
            <w:tcBorders>
              <w:top w:val="nil"/>
              <w:left w:val="single" w:sz="4" w:space="0" w:color="auto"/>
              <w:right w:val="nil"/>
            </w:tcBorders>
            <w:shd w:val="clear" w:color="auto" w:fill="auto"/>
            <w:vAlign w:val="center"/>
          </w:tcPr>
          <w:p w14:paraId="261D9E69"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Exceptional items</w:t>
            </w:r>
          </w:p>
        </w:tc>
        <w:tc>
          <w:tcPr>
            <w:tcW w:w="1347" w:type="dxa"/>
            <w:tcBorders>
              <w:top w:val="nil"/>
              <w:left w:val="nil"/>
              <w:bottom w:val="nil"/>
              <w:right w:val="nil"/>
            </w:tcBorders>
            <w:shd w:val="clear" w:color="auto" w:fill="auto"/>
            <w:noWrap/>
            <w:vAlign w:val="bottom"/>
          </w:tcPr>
          <w:p w14:paraId="5952E1D5"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(1,308)</w:t>
            </w:r>
          </w:p>
        </w:tc>
        <w:tc>
          <w:tcPr>
            <w:tcW w:w="1225" w:type="dxa"/>
            <w:tcBorders>
              <w:top w:val="nil"/>
              <w:left w:val="nil"/>
              <w:bottom w:val="nil"/>
              <w:right w:val="nil"/>
            </w:tcBorders>
            <w:shd w:val="clear" w:color="auto" w:fill="auto"/>
            <w:noWrap/>
            <w:vAlign w:val="bottom"/>
          </w:tcPr>
          <w:p w14:paraId="5BAE915A"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(76)</w:t>
            </w:r>
          </w:p>
        </w:tc>
        <w:tc>
          <w:tcPr>
            <w:tcW w:w="1163" w:type="dxa"/>
            <w:tcBorders>
              <w:top w:val="nil"/>
              <w:left w:val="nil"/>
              <w:bottom w:val="nil"/>
              <w:right w:val="nil"/>
            </w:tcBorders>
            <w:vAlign w:val="bottom"/>
          </w:tcPr>
          <w:p w14:paraId="530B15E4"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(485)</w:t>
            </w:r>
          </w:p>
        </w:tc>
        <w:tc>
          <w:tcPr>
            <w:tcW w:w="1143" w:type="dxa"/>
            <w:tcBorders>
              <w:top w:val="nil"/>
              <w:left w:val="nil"/>
              <w:bottom w:val="nil"/>
              <w:right w:val="single" w:sz="4" w:space="0" w:color="auto"/>
            </w:tcBorders>
            <w:shd w:val="clear" w:color="auto" w:fill="auto"/>
            <w:noWrap/>
            <w:vAlign w:val="bottom"/>
          </w:tcPr>
          <w:p w14:paraId="6B53B0C1"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(1,869)</w:t>
            </w:r>
          </w:p>
        </w:tc>
      </w:tr>
      <w:tr w:rsidR="008A3993" w:rsidRPr="008A3993" w14:paraId="264907DE" w14:textId="77777777" w:rsidTr="00705078">
        <w:trPr>
          <w:trHeight w:val="287"/>
        </w:trPr>
        <w:tc>
          <w:tcPr>
            <w:tcW w:w="4226" w:type="dxa"/>
            <w:tcBorders>
              <w:top w:val="nil"/>
              <w:left w:val="single" w:sz="4" w:space="0" w:color="auto"/>
              <w:bottom w:val="single" w:sz="4" w:space="0" w:color="auto"/>
              <w:right w:val="nil"/>
            </w:tcBorders>
            <w:shd w:val="clear" w:color="auto" w:fill="auto"/>
            <w:vAlign w:val="center"/>
          </w:tcPr>
          <w:p w14:paraId="0E1B171B"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color w:val="000000"/>
                <w:sz w:val="16"/>
                <w:szCs w:val="16"/>
                <w:lang w:eastAsia="en-GB"/>
              </w:rPr>
              <w:t>Share-based payments</w:t>
            </w:r>
          </w:p>
        </w:tc>
        <w:tc>
          <w:tcPr>
            <w:tcW w:w="1347" w:type="dxa"/>
            <w:tcBorders>
              <w:top w:val="nil"/>
              <w:left w:val="nil"/>
              <w:bottom w:val="single" w:sz="4" w:space="0" w:color="auto"/>
              <w:right w:val="nil"/>
            </w:tcBorders>
            <w:shd w:val="clear" w:color="auto" w:fill="auto"/>
            <w:noWrap/>
            <w:vAlign w:val="bottom"/>
          </w:tcPr>
          <w:p w14:paraId="40522DB1"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w:t>
            </w:r>
          </w:p>
        </w:tc>
        <w:tc>
          <w:tcPr>
            <w:tcW w:w="1225" w:type="dxa"/>
            <w:tcBorders>
              <w:top w:val="nil"/>
              <w:left w:val="nil"/>
              <w:bottom w:val="single" w:sz="4" w:space="0" w:color="auto"/>
              <w:right w:val="nil"/>
            </w:tcBorders>
            <w:shd w:val="clear" w:color="auto" w:fill="auto"/>
            <w:noWrap/>
            <w:vAlign w:val="bottom"/>
          </w:tcPr>
          <w:p w14:paraId="2BAFB2B3"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(5)</w:t>
            </w:r>
          </w:p>
        </w:tc>
        <w:tc>
          <w:tcPr>
            <w:tcW w:w="1163" w:type="dxa"/>
            <w:tcBorders>
              <w:top w:val="nil"/>
              <w:left w:val="nil"/>
              <w:bottom w:val="single" w:sz="4" w:space="0" w:color="auto"/>
              <w:right w:val="nil"/>
            </w:tcBorders>
            <w:vAlign w:val="bottom"/>
          </w:tcPr>
          <w:p w14:paraId="0E6736E0"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(38)</w:t>
            </w:r>
          </w:p>
        </w:tc>
        <w:tc>
          <w:tcPr>
            <w:tcW w:w="1143" w:type="dxa"/>
            <w:tcBorders>
              <w:top w:val="nil"/>
              <w:left w:val="nil"/>
              <w:bottom w:val="single" w:sz="4" w:space="0" w:color="auto"/>
              <w:right w:val="single" w:sz="4" w:space="0" w:color="auto"/>
            </w:tcBorders>
            <w:shd w:val="clear" w:color="auto" w:fill="auto"/>
            <w:noWrap/>
            <w:vAlign w:val="bottom"/>
          </w:tcPr>
          <w:p w14:paraId="28B0EB8B"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(43)</w:t>
            </w:r>
          </w:p>
        </w:tc>
      </w:tr>
      <w:tr w:rsidR="008A3993" w:rsidRPr="008A3993" w14:paraId="2400E2AB" w14:textId="77777777" w:rsidTr="00705078">
        <w:trPr>
          <w:trHeight w:val="287"/>
        </w:trPr>
        <w:tc>
          <w:tcPr>
            <w:tcW w:w="4226" w:type="dxa"/>
            <w:tcBorders>
              <w:top w:val="single" w:sz="4" w:space="0" w:color="auto"/>
              <w:left w:val="single" w:sz="4" w:space="0" w:color="auto"/>
              <w:bottom w:val="single" w:sz="4" w:space="0" w:color="auto"/>
              <w:right w:val="nil"/>
            </w:tcBorders>
            <w:shd w:val="clear" w:color="auto" w:fill="auto"/>
            <w:vAlign w:val="center"/>
          </w:tcPr>
          <w:p w14:paraId="5ABF975A"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PROFIT BEFORE INCOME TAX</w:t>
            </w:r>
          </w:p>
        </w:tc>
        <w:tc>
          <w:tcPr>
            <w:tcW w:w="1347" w:type="dxa"/>
            <w:tcBorders>
              <w:top w:val="nil"/>
              <w:left w:val="nil"/>
              <w:bottom w:val="single" w:sz="4" w:space="0" w:color="auto"/>
              <w:right w:val="nil"/>
            </w:tcBorders>
            <w:shd w:val="clear" w:color="auto" w:fill="auto"/>
            <w:noWrap/>
            <w:vAlign w:val="bottom"/>
          </w:tcPr>
          <w:p w14:paraId="031E5162"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934</w:t>
            </w:r>
          </w:p>
        </w:tc>
        <w:tc>
          <w:tcPr>
            <w:tcW w:w="1225" w:type="dxa"/>
            <w:tcBorders>
              <w:top w:val="nil"/>
              <w:left w:val="nil"/>
              <w:bottom w:val="single" w:sz="4" w:space="0" w:color="auto"/>
              <w:right w:val="nil"/>
            </w:tcBorders>
            <w:shd w:val="clear" w:color="auto" w:fill="auto"/>
            <w:noWrap/>
            <w:vAlign w:val="bottom"/>
          </w:tcPr>
          <w:p w14:paraId="3D24CF7A"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3,379</w:t>
            </w:r>
          </w:p>
        </w:tc>
        <w:tc>
          <w:tcPr>
            <w:tcW w:w="1163" w:type="dxa"/>
            <w:tcBorders>
              <w:top w:val="nil"/>
              <w:left w:val="nil"/>
              <w:bottom w:val="single" w:sz="4" w:space="0" w:color="auto"/>
              <w:right w:val="nil"/>
            </w:tcBorders>
            <w:vAlign w:val="bottom"/>
          </w:tcPr>
          <w:p w14:paraId="483861F9"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color w:val="000000"/>
                <w:sz w:val="16"/>
                <w:szCs w:val="16"/>
                <w:lang w:eastAsia="en-GB"/>
              </w:rPr>
            </w:pPr>
            <w:r w:rsidRPr="008A3993">
              <w:rPr>
                <w:rFonts w:eastAsia="Times New Roman" w:cstheme="minorHAnsi"/>
                <w:color w:val="000000"/>
                <w:sz w:val="16"/>
                <w:szCs w:val="16"/>
                <w:lang w:eastAsia="en-GB"/>
              </w:rPr>
              <w:t>(3,258)</w:t>
            </w:r>
          </w:p>
        </w:tc>
        <w:tc>
          <w:tcPr>
            <w:tcW w:w="1143" w:type="dxa"/>
            <w:tcBorders>
              <w:top w:val="nil"/>
              <w:left w:val="nil"/>
              <w:bottom w:val="single" w:sz="4" w:space="0" w:color="auto"/>
              <w:right w:val="single" w:sz="4" w:space="0" w:color="auto"/>
            </w:tcBorders>
            <w:shd w:val="clear" w:color="auto" w:fill="auto"/>
            <w:noWrap/>
            <w:vAlign w:val="bottom"/>
          </w:tcPr>
          <w:p w14:paraId="36137875" w14:textId="77777777" w:rsidR="008A3993" w:rsidRPr="008A3993" w:rsidRDefault="008A3993" w:rsidP="008A3993">
            <w:pPr>
              <w:widowControl w:val="0"/>
              <w:tabs>
                <w:tab w:val="left" w:pos="284"/>
                <w:tab w:val="left" w:pos="1543"/>
              </w:tabs>
              <w:autoSpaceDE w:val="0"/>
              <w:autoSpaceDN w:val="0"/>
              <w:adjustRightInd w:val="0"/>
              <w:spacing w:after="0" w:line="240" w:lineRule="auto"/>
              <w:ind w:right="95"/>
              <w:jc w:val="both"/>
              <w:rPr>
                <w:rFonts w:eastAsia="Times New Roman" w:cstheme="minorHAnsi"/>
                <w:b/>
                <w:bCs/>
                <w:color w:val="000000"/>
                <w:sz w:val="16"/>
                <w:szCs w:val="16"/>
                <w:lang w:eastAsia="en-GB"/>
              </w:rPr>
            </w:pPr>
            <w:r w:rsidRPr="008A3993">
              <w:rPr>
                <w:rFonts w:eastAsia="Times New Roman" w:cstheme="minorHAnsi"/>
                <w:b/>
                <w:bCs/>
                <w:color w:val="000000"/>
                <w:sz w:val="16"/>
                <w:szCs w:val="16"/>
                <w:lang w:eastAsia="en-GB"/>
              </w:rPr>
              <w:t>1,055</w:t>
            </w:r>
          </w:p>
        </w:tc>
      </w:tr>
    </w:tbl>
    <w:p w14:paraId="3244BC4D" w14:textId="77777777" w:rsidR="00382D2B" w:rsidRPr="00D47013" w:rsidRDefault="00382D2B" w:rsidP="00000C93">
      <w:pPr>
        <w:widowControl w:val="0"/>
        <w:tabs>
          <w:tab w:val="left" w:pos="941"/>
        </w:tabs>
        <w:autoSpaceDE w:val="0"/>
        <w:autoSpaceDN w:val="0"/>
        <w:adjustRightInd w:val="0"/>
        <w:spacing w:after="0" w:line="240" w:lineRule="auto"/>
        <w:ind w:right="941"/>
        <w:rPr>
          <w:rFonts w:eastAsia="Times New Roman" w:cstheme="minorHAnsi"/>
          <w:b/>
          <w:color w:val="000000"/>
          <w:highlight w:val="yellow"/>
          <w:lang w:eastAsia="en-GB"/>
        </w:rPr>
      </w:pPr>
    </w:p>
    <w:p w14:paraId="4DFE254B" w14:textId="77777777" w:rsidR="00887F65" w:rsidRPr="00BE6A1C" w:rsidRDefault="00887F65" w:rsidP="00887F65">
      <w:pPr>
        <w:widowControl w:val="0"/>
        <w:tabs>
          <w:tab w:val="left" w:pos="941"/>
        </w:tabs>
        <w:autoSpaceDE w:val="0"/>
        <w:autoSpaceDN w:val="0"/>
        <w:adjustRightInd w:val="0"/>
        <w:spacing w:after="0" w:line="240" w:lineRule="auto"/>
        <w:ind w:left="941" w:right="941"/>
        <w:rPr>
          <w:rFonts w:eastAsia="Times New Roman" w:cstheme="minorHAnsi"/>
          <w:b/>
          <w:bCs/>
          <w:color w:val="000000"/>
          <w:lang w:eastAsia="en-GB"/>
        </w:rPr>
      </w:pPr>
    </w:p>
    <w:p w14:paraId="29E98C95" w14:textId="27A901C9" w:rsidR="00887F65" w:rsidRPr="00BE6A1C" w:rsidRDefault="00887F65" w:rsidP="00C95C7E">
      <w:pPr>
        <w:pStyle w:val="ListParagraph"/>
        <w:widowControl w:val="0"/>
        <w:numPr>
          <w:ilvl w:val="0"/>
          <w:numId w:val="25"/>
        </w:numPr>
        <w:tabs>
          <w:tab w:val="left" w:pos="941"/>
        </w:tabs>
        <w:autoSpaceDE w:val="0"/>
        <w:autoSpaceDN w:val="0"/>
        <w:adjustRightInd w:val="0"/>
        <w:spacing w:after="0" w:line="240" w:lineRule="auto"/>
        <w:ind w:left="284" w:right="941" w:hanging="284"/>
        <w:rPr>
          <w:rFonts w:eastAsia="Times New Roman" w:cstheme="minorHAnsi"/>
          <w:b/>
          <w:bCs/>
          <w:color w:val="000000"/>
          <w:lang w:eastAsia="en-GB"/>
        </w:rPr>
      </w:pPr>
      <w:r w:rsidRPr="00BE6A1C">
        <w:rPr>
          <w:rFonts w:eastAsia="Times New Roman" w:cstheme="minorHAnsi"/>
          <w:b/>
          <w:bCs/>
          <w:color w:val="000000"/>
          <w:lang w:eastAsia="en-GB"/>
        </w:rPr>
        <w:t>PROFIT BEFORE INCOME TAX</w:t>
      </w:r>
    </w:p>
    <w:p w14:paraId="7FC2FDE7" w14:textId="77777777" w:rsidR="00887F65" w:rsidRPr="00BE6A1C" w:rsidRDefault="00887F65" w:rsidP="00887F65">
      <w:pPr>
        <w:widowControl w:val="0"/>
        <w:tabs>
          <w:tab w:val="left" w:pos="941"/>
        </w:tabs>
        <w:autoSpaceDE w:val="0"/>
        <w:autoSpaceDN w:val="0"/>
        <w:adjustRightInd w:val="0"/>
        <w:spacing w:after="0" w:line="240" w:lineRule="auto"/>
        <w:ind w:left="941" w:right="941"/>
        <w:rPr>
          <w:rFonts w:eastAsia="Times New Roman" w:cstheme="minorHAnsi"/>
          <w:color w:val="000000"/>
          <w:lang w:eastAsia="en-GB"/>
        </w:rPr>
      </w:pPr>
    </w:p>
    <w:p w14:paraId="79329CBE" w14:textId="4B90C35B" w:rsidR="00887F65" w:rsidRPr="00BE6A1C" w:rsidRDefault="00887F65" w:rsidP="00293CB5">
      <w:pPr>
        <w:widowControl w:val="0"/>
        <w:tabs>
          <w:tab w:val="left" w:pos="0"/>
        </w:tabs>
        <w:autoSpaceDE w:val="0"/>
        <w:autoSpaceDN w:val="0"/>
        <w:adjustRightInd w:val="0"/>
        <w:spacing w:after="0" w:line="240" w:lineRule="auto"/>
        <w:ind w:right="941"/>
        <w:rPr>
          <w:rFonts w:eastAsia="Times New Roman" w:cstheme="minorHAnsi"/>
          <w:color w:val="000000"/>
          <w:lang w:eastAsia="en-GB"/>
        </w:rPr>
      </w:pPr>
      <w:r w:rsidRPr="00BE6A1C">
        <w:rPr>
          <w:rFonts w:eastAsia="Times New Roman" w:cstheme="minorHAnsi"/>
          <w:color w:val="000000"/>
          <w:lang w:eastAsia="en-GB"/>
        </w:rPr>
        <w:t>The profit before income tax is stated after charging:</w:t>
      </w:r>
    </w:p>
    <w:tbl>
      <w:tblPr>
        <w:tblW w:w="9214" w:type="dxa"/>
        <w:tblInd w:w="-142" w:type="dxa"/>
        <w:tblLook w:val="04A0" w:firstRow="1" w:lastRow="0" w:firstColumn="1" w:lastColumn="0" w:noHBand="0" w:noVBand="1"/>
      </w:tblPr>
      <w:tblGrid>
        <w:gridCol w:w="5104"/>
        <w:gridCol w:w="339"/>
        <w:gridCol w:w="2070"/>
        <w:gridCol w:w="345"/>
        <w:gridCol w:w="1356"/>
      </w:tblGrid>
      <w:tr w:rsidR="00D25BF9" w:rsidRPr="00BE6A1C" w14:paraId="36D6474F" w14:textId="77777777" w:rsidTr="00705078">
        <w:trPr>
          <w:trHeight w:val="300"/>
        </w:trPr>
        <w:tc>
          <w:tcPr>
            <w:tcW w:w="5104" w:type="dxa"/>
            <w:tcBorders>
              <w:top w:val="nil"/>
              <w:left w:val="nil"/>
              <w:bottom w:val="nil"/>
              <w:right w:val="nil"/>
            </w:tcBorders>
            <w:shd w:val="clear" w:color="000000" w:fill="FFFFFF"/>
            <w:noWrap/>
            <w:vAlign w:val="bottom"/>
            <w:hideMark/>
          </w:tcPr>
          <w:p w14:paraId="25B41186" w14:textId="77777777" w:rsidR="00D25BF9" w:rsidRPr="00BE6A1C" w:rsidRDefault="00D25BF9" w:rsidP="00D25BF9">
            <w:pPr>
              <w:keepLines/>
              <w:widowControl w:val="0"/>
              <w:autoSpaceDE w:val="0"/>
              <w:autoSpaceDN w:val="0"/>
              <w:adjustRightInd w:val="0"/>
              <w:spacing w:after="0" w:line="240" w:lineRule="auto"/>
              <w:rPr>
                <w:rFonts w:eastAsia="Times New Roman" w:cstheme="minorHAnsi"/>
                <w:color w:val="000000"/>
                <w:sz w:val="16"/>
                <w:szCs w:val="16"/>
                <w:lang w:eastAsia="en-GB"/>
              </w:rPr>
            </w:pPr>
            <w:r w:rsidRPr="00BE6A1C">
              <w:rPr>
                <w:rFonts w:eastAsia="Times New Roman" w:cstheme="minorHAnsi"/>
                <w:color w:val="000000"/>
                <w:sz w:val="16"/>
                <w:szCs w:val="16"/>
                <w:lang w:eastAsia="en-GB"/>
              </w:rPr>
              <w:t> </w:t>
            </w:r>
          </w:p>
        </w:tc>
        <w:tc>
          <w:tcPr>
            <w:tcW w:w="339" w:type="dxa"/>
            <w:tcBorders>
              <w:top w:val="nil"/>
              <w:left w:val="nil"/>
              <w:bottom w:val="nil"/>
              <w:right w:val="nil"/>
            </w:tcBorders>
            <w:shd w:val="clear" w:color="000000" w:fill="FFFFFF"/>
            <w:noWrap/>
            <w:vAlign w:val="bottom"/>
            <w:hideMark/>
          </w:tcPr>
          <w:p w14:paraId="0810F5C2" w14:textId="77777777" w:rsidR="00D25BF9" w:rsidRPr="00BE6A1C" w:rsidRDefault="00D25BF9" w:rsidP="00D25BF9">
            <w:pPr>
              <w:keepLines/>
              <w:widowControl w:val="0"/>
              <w:autoSpaceDE w:val="0"/>
              <w:autoSpaceDN w:val="0"/>
              <w:adjustRightInd w:val="0"/>
              <w:spacing w:after="0" w:line="240" w:lineRule="auto"/>
              <w:rPr>
                <w:rFonts w:eastAsia="Times New Roman" w:cstheme="minorHAnsi"/>
                <w:color w:val="000000"/>
                <w:sz w:val="16"/>
                <w:szCs w:val="16"/>
                <w:lang w:eastAsia="en-GB"/>
              </w:rPr>
            </w:pPr>
            <w:r w:rsidRPr="00BE6A1C">
              <w:rPr>
                <w:rFonts w:eastAsia="Times New Roman" w:cstheme="minorHAnsi"/>
                <w:color w:val="000000"/>
                <w:sz w:val="16"/>
                <w:szCs w:val="16"/>
                <w:lang w:eastAsia="en-GB"/>
              </w:rPr>
              <w:t> </w:t>
            </w:r>
          </w:p>
        </w:tc>
        <w:tc>
          <w:tcPr>
            <w:tcW w:w="2070" w:type="dxa"/>
            <w:tcBorders>
              <w:top w:val="nil"/>
              <w:left w:val="nil"/>
              <w:bottom w:val="nil"/>
              <w:right w:val="nil"/>
            </w:tcBorders>
            <w:shd w:val="clear" w:color="000000" w:fill="FFFFFF"/>
            <w:hideMark/>
          </w:tcPr>
          <w:p w14:paraId="0DB0D02C" w14:textId="5CA03B9C" w:rsidR="00D25BF9" w:rsidRPr="00BE6A1C" w:rsidRDefault="00D25BF9" w:rsidP="00D25BF9">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BE6A1C">
              <w:rPr>
                <w:rFonts w:eastAsia="Times New Roman" w:cstheme="minorHAnsi"/>
                <w:b/>
                <w:color w:val="000000"/>
                <w:sz w:val="16"/>
                <w:szCs w:val="16"/>
                <w:lang w:eastAsia="en-GB"/>
              </w:rPr>
              <w:t>202</w:t>
            </w:r>
            <w:r w:rsidR="00705078">
              <w:rPr>
                <w:rFonts w:eastAsia="Times New Roman" w:cstheme="minorHAnsi"/>
                <w:b/>
                <w:color w:val="000000"/>
                <w:sz w:val="16"/>
                <w:szCs w:val="16"/>
                <w:lang w:eastAsia="en-GB"/>
              </w:rPr>
              <w:t>3</w:t>
            </w:r>
          </w:p>
        </w:tc>
        <w:tc>
          <w:tcPr>
            <w:tcW w:w="345" w:type="dxa"/>
            <w:tcBorders>
              <w:top w:val="nil"/>
              <w:left w:val="nil"/>
              <w:bottom w:val="nil"/>
              <w:right w:val="nil"/>
            </w:tcBorders>
            <w:shd w:val="clear" w:color="000000" w:fill="FFFFFF"/>
            <w:noWrap/>
            <w:hideMark/>
          </w:tcPr>
          <w:p w14:paraId="532EE068" w14:textId="77777777" w:rsidR="00D25BF9" w:rsidRPr="00BE6A1C" w:rsidRDefault="00D25BF9" w:rsidP="00D25BF9">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r w:rsidRPr="00BE6A1C">
              <w:rPr>
                <w:rFonts w:eastAsia="Times New Roman" w:cstheme="minorHAnsi"/>
                <w:color w:val="FF0000"/>
                <w:sz w:val="16"/>
                <w:szCs w:val="16"/>
                <w:lang w:eastAsia="en-GB"/>
              </w:rPr>
              <w:t> </w:t>
            </w:r>
          </w:p>
        </w:tc>
        <w:tc>
          <w:tcPr>
            <w:tcW w:w="1356" w:type="dxa"/>
            <w:tcBorders>
              <w:top w:val="nil"/>
              <w:left w:val="nil"/>
              <w:bottom w:val="nil"/>
              <w:right w:val="nil"/>
            </w:tcBorders>
            <w:shd w:val="clear" w:color="000000" w:fill="FFFFFF"/>
          </w:tcPr>
          <w:p w14:paraId="2A86A5C1" w14:textId="7C458DDF" w:rsidR="00D25BF9" w:rsidRPr="00705078" w:rsidRDefault="00D25BF9" w:rsidP="00D25BF9">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705078">
              <w:rPr>
                <w:rFonts w:eastAsia="Times New Roman" w:cstheme="minorHAnsi"/>
                <w:bCs/>
                <w:color w:val="000000"/>
                <w:sz w:val="16"/>
                <w:szCs w:val="16"/>
                <w:lang w:eastAsia="en-GB"/>
              </w:rPr>
              <w:t>202</w:t>
            </w:r>
            <w:r w:rsidR="008A6A03" w:rsidRPr="00705078">
              <w:rPr>
                <w:rFonts w:eastAsia="Times New Roman" w:cstheme="minorHAnsi"/>
                <w:bCs/>
                <w:color w:val="000000"/>
                <w:sz w:val="16"/>
                <w:szCs w:val="16"/>
                <w:lang w:eastAsia="en-GB"/>
              </w:rPr>
              <w:t>2</w:t>
            </w:r>
          </w:p>
        </w:tc>
      </w:tr>
      <w:tr w:rsidR="00D25BF9" w:rsidRPr="00BE6A1C" w14:paraId="25A7984B" w14:textId="77777777" w:rsidTr="00705078">
        <w:trPr>
          <w:trHeight w:val="300"/>
        </w:trPr>
        <w:tc>
          <w:tcPr>
            <w:tcW w:w="5104" w:type="dxa"/>
            <w:tcBorders>
              <w:top w:val="nil"/>
              <w:left w:val="nil"/>
              <w:bottom w:val="nil"/>
              <w:right w:val="nil"/>
            </w:tcBorders>
            <w:shd w:val="clear" w:color="000000" w:fill="FFFFFF"/>
            <w:noWrap/>
            <w:vAlign w:val="bottom"/>
            <w:hideMark/>
          </w:tcPr>
          <w:p w14:paraId="557A6249" w14:textId="77777777" w:rsidR="00D25BF9" w:rsidRPr="00BE6A1C" w:rsidRDefault="00D25BF9" w:rsidP="00D25BF9">
            <w:pPr>
              <w:keepLines/>
              <w:widowControl w:val="0"/>
              <w:autoSpaceDE w:val="0"/>
              <w:autoSpaceDN w:val="0"/>
              <w:adjustRightInd w:val="0"/>
              <w:spacing w:after="0" w:line="240" w:lineRule="auto"/>
              <w:rPr>
                <w:rFonts w:eastAsia="Times New Roman" w:cstheme="minorHAnsi"/>
                <w:color w:val="000000"/>
                <w:sz w:val="16"/>
                <w:szCs w:val="16"/>
                <w:lang w:eastAsia="en-GB"/>
              </w:rPr>
            </w:pPr>
            <w:r w:rsidRPr="00BE6A1C">
              <w:rPr>
                <w:rFonts w:eastAsia="Times New Roman" w:cstheme="minorHAnsi"/>
                <w:color w:val="000000"/>
                <w:sz w:val="16"/>
                <w:szCs w:val="16"/>
                <w:lang w:eastAsia="en-GB"/>
              </w:rPr>
              <w:t> </w:t>
            </w:r>
          </w:p>
        </w:tc>
        <w:tc>
          <w:tcPr>
            <w:tcW w:w="339" w:type="dxa"/>
            <w:tcBorders>
              <w:top w:val="nil"/>
              <w:left w:val="nil"/>
              <w:bottom w:val="nil"/>
              <w:right w:val="nil"/>
            </w:tcBorders>
            <w:shd w:val="clear" w:color="000000" w:fill="FFFFFF"/>
            <w:noWrap/>
            <w:vAlign w:val="bottom"/>
            <w:hideMark/>
          </w:tcPr>
          <w:p w14:paraId="53197A63" w14:textId="77777777" w:rsidR="00D25BF9" w:rsidRPr="00BE6A1C" w:rsidRDefault="00D25BF9" w:rsidP="00D25BF9">
            <w:pPr>
              <w:keepLines/>
              <w:widowControl w:val="0"/>
              <w:autoSpaceDE w:val="0"/>
              <w:autoSpaceDN w:val="0"/>
              <w:adjustRightInd w:val="0"/>
              <w:spacing w:after="0" w:line="240" w:lineRule="auto"/>
              <w:rPr>
                <w:rFonts w:eastAsia="Times New Roman" w:cstheme="minorHAnsi"/>
                <w:color w:val="000000"/>
                <w:sz w:val="16"/>
                <w:szCs w:val="16"/>
                <w:lang w:eastAsia="en-GB"/>
              </w:rPr>
            </w:pPr>
            <w:r w:rsidRPr="00BE6A1C">
              <w:rPr>
                <w:rFonts w:eastAsia="Times New Roman" w:cstheme="minorHAnsi"/>
                <w:color w:val="000000"/>
                <w:sz w:val="16"/>
                <w:szCs w:val="16"/>
                <w:lang w:eastAsia="en-GB"/>
              </w:rPr>
              <w:t> </w:t>
            </w:r>
          </w:p>
        </w:tc>
        <w:tc>
          <w:tcPr>
            <w:tcW w:w="2070" w:type="dxa"/>
            <w:tcBorders>
              <w:top w:val="nil"/>
              <w:left w:val="nil"/>
              <w:bottom w:val="nil"/>
              <w:right w:val="nil"/>
            </w:tcBorders>
            <w:shd w:val="clear" w:color="000000" w:fill="FFFFFF"/>
            <w:hideMark/>
          </w:tcPr>
          <w:p w14:paraId="13790913" w14:textId="77777777" w:rsidR="00D25BF9" w:rsidRPr="00BE6A1C" w:rsidRDefault="00D25BF9" w:rsidP="00D25BF9">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BE6A1C">
              <w:rPr>
                <w:rFonts w:eastAsia="Times New Roman" w:cstheme="minorHAnsi"/>
                <w:b/>
                <w:color w:val="000000"/>
                <w:sz w:val="16"/>
                <w:szCs w:val="16"/>
                <w:lang w:eastAsia="en-GB"/>
              </w:rPr>
              <w:t>£’000</w:t>
            </w:r>
          </w:p>
        </w:tc>
        <w:tc>
          <w:tcPr>
            <w:tcW w:w="345" w:type="dxa"/>
            <w:tcBorders>
              <w:top w:val="nil"/>
              <w:left w:val="nil"/>
              <w:bottom w:val="nil"/>
              <w:right w:val="nil"/>
            </w:tcBorders>
            <w:shd w:val="clear" w:color="000000" w:fill="FFFFFF"/>
            <w:noWrap/>
            <w:hideMark/>
          </w:tcPr>
          <w:p w14:paraId="255DE0F7" w14:textId="77777777" w:rsidR="00D25BF9" w:rsidRPr="00BE6A1C" w:rsidRDefault="00D25BF9" w:rsidP="00D25BF9">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r w:rsidRPr="00BE6A1C">
              <w:rPr>
                <w:rFonts w:eastAsia="Times New Roman" w:cstheme="minorHAnsi"/>
                <w:color w:val="FF0000"/>
                <w:sz w:val="16"/>
                <w:szCs w:val="16"/>
                <w:lang w:eastAsia="en-GB"/>
              </w:rPr>
              <w:t> </w:t>
            </w:r>
          </w:p>
        </w:tc>
        <w:tc>
          <w:tcPr>
            <w:tcW w:w="1356" w:type="dxa"/>
            <w:tcBorders>
              <w:top w:val="nil"/>
              <w:left w:val="nil"/>
              <w:bottom w:val="nil"/>
              <w:right w:val="nil"/>
            </w:tcBorders>
            <w:shd w:val="clear" w:color="000000" w:fill="FFFFFF"/>
          </w:tcPr>
          <w:p w14:paraId="2957B0B0" w14:textId="7B331066" w:rsidR="00D25BF9" w:rsidRPr="00705078" w:rsidRDefault="00D25BF9" w:rsidP="00D25BF9">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705078">
              <w:rPr>
                <w:rFonts w:eastAsia="Times New Roman" w:cstheme="minorHAnsi"/>
                <w:bCs/>
                <w:color w:val="000000"/>
                <w:sz w:val="16"/>
                <w:szCs w:val="16"/>
                <w:lang w:eastAsia="en-GB"/>
              </w:rPr>
              <w:t>£’000</w:t>
            </w:r>
          </w:p>
        </w:tc>
      </w:tr>
      <w:tr w:rsidR="00D25BF9" w:rsidRPr="00BE6A1C" w14:paraId="6BE90060" w14:textId="77777777" w:rsidTr="00705078">
        <w:trPr>
          <w:trHeight w:val="284"/>
        </w:trPr>
        <w:tc>
          <w:tcPr>
            <w:tcW w:w="5104" w:type="dxa"/>
            <w:tcBorders>
              <w:top w:val="nil"/>
              <w:left w:val="nil"/>
              <w:bottom w:val="nil"/>
              <w:right w:val="nil"/>
            </w:tcBorders>
            <w:shd w:val="clear" w:color="000000" w:fill="FFFFFF"/>
            <w:noWrap/>
            <w:vAlign w:val="bottom"/>
          </w:tcPr>
          <w:p w14:paraId="298A44AC" w14:textId="77777777" w:rsidR="00D25BF9" w:rsidRPr="00BE6A1C" w:rsidRDefault="00D25BF9" w:rsidP="00D25BF9">
            <w:pPr>
              <w:keepLines/>
              <w:widowControl w:val="0"/>
              <w:autoSpaceDE w:val="0"/>
              <w:autoSpaceDN w:val="0"/>
              <w:adjustRightInd w:val="0"/>
              <w:spacing w:after="0" w:line="240" w:lineRule="auto"/>
              <w:rPr>
                <w:rFonts w:eastAsia="Times New Roman" w:cstheme="minorHAnsi"/>
                <w:bCs/>
                <w:color w:val="000000"/>
                <w:sz w:val="16"/>
                <w:szCs w:val="16"/>
                <w:lang w:eastAsia="en-GB"/>
              </w:rPr>
            </w:pPr>
            <w:r w:rsidRPr="00BE6A1C">
              <w:rPr>
                <w:rFonts w:eastAsia="Times New Roman" w:cstheme="minorHAnsi"/>
                <w:color w:val="000000"/>
                <w:sz w:val="16"/>
                <w:szCs w:val="16"/>
                <w:lang w:eastAsia="en-GB"/>
              </w:rPr>
              <w:t>Depreciation - owned assets</w:t>
            </w:r>
          </w:p>
        </w:tc>
        <w:tc>
          <w:tcPr>
            <w:tcW w:w="339" w:type="dxa"/>
            <w:tcBorders>
              <w:top w:val="nil"/>
              <w:left w:val="nil"/>
              <w:bottom w:val="nil"/>
              <w:right w:val="nil"/>
            </w:tcBorders>
            <w:shd w:val="clear" w:color="000000" w:fill="FFFFFF"/>
            <w:noWrap/>
            <w:vAlign w:val="bottom"/>
          </w:tcPr>
          <w:p w14:paraId="387942A4" w14:textId="77777777" w:rsidR="00D25BF9" w:rsidRPr="00BE6A1C" w:rsidRDefault="00D25BF9" w:rsidP="00D25BF9">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0" w:type="dxa"/>
            <w:tcBorders>
              <w:top w:val="nil"/>
              <w:left w:val="nil"/>
              <w:right w:val="nil"/>
            </w:tcBorders>
            <w:shd w:val="clear" w:color="000000" w:fill="FFFFFF"/>
            <w:noWrap/>
            <w:vAlign w:val="bottom"/>
          </w:tcPr>
          <w:p w14:paraId="1EFE6459" w14:textId="02ACD936" w:rsidR="00D25BF9" w:rsidRPr="00BE6A1C" w:rsidRDefault="00C75B87" w:rsidP="00D25BF9">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289</w:t>
            </w:r>
          </w:p>
        </w:tc>
        <w:tc>
          <w:tcPr>
            <w:tcW w:w="345" w:type="dxa"/>
            <w:tcBorders>
              <w:top w:val="nil"/>
              <w:left w:val="nil"/>
              <w:right w:val="nil"/>
            </w:tcBorders>
            <w:shd w:val="clear" w:color="000000" w:fill="FFFFFF"/>
            <w:noWrap/>
            <w:vAlign w:val="bottom"/>
          </w:tcPr>
          <w:p w14:paraId="205C6AD9" w14:textId="77777777" w:rsidR="00D25BF9" w:rsidRPr="00BE6A1C" w:rsidRDefault="00D25BF9" w:rsidP="00D25BF9">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356" w:type="dxa"/>
            <w:tcBorders>
              <w:top w:val="nil"/>
              <w:left w:val="nil"/>
              <w:right w:val="nil"/>
            </w:tcBorders>
            <w:shd w:val="clear" w:color="000000" w:fill="FFFFFF"/>
            <w:vAlign w:val="bottom"/>
          </w:tcPr>
          <w:p w14:paraId="4DA8095A" w14:textId="3FAB47A4" w:rsidR="00D25BF9" w:rsidRPr="00BE6A1C" w:rsidRDefault="008A6A03" w:rsidP="00D25BF9">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388</w:t>
            </w:r>
          </w:p>
        </w:tc>
      </w:tr>
      <w:tr w:rsidR="00D25BF9" w:rsidRPr="00BE6A1C" w14:paraId="01A54B2C" w14:textId="77777777" w:rsidTr="00705078">
        <w:trPr>
          <w:trHeight w:val="284"/>
        </w:trPr>
        <w:tc>
          <w:tcPr>
            <w:tcW w:w="5104" w:type="dxa"/>
            <w:tcBorders>
              <w:top w:val="nil"/>
              <w:left w:val="nil"/>
              <w:bottom w:val="nil"/>
              <w:right w:val="nil"/>
            </w:tcBorders>
            <w:shd w:val="clear" w:color="000000" w:fill="FFFFFF"/>
            <w:noWrap/>
            <w:vAlign w:val="bottom"/>
          </w:tcPr>
          <w:p w14:paraId="64C04BEC" w14:textId="5DC14012" w:rsidR="00D25BF9" w:rsidRPr="00BE6A1C" w:rsidRDefault="00D25BF9" w:rsidP="00D25BF9">
            <w:pPr>
              <w:keepLines/>
              <w:widowControl w:val="0"/>
              <w:autoSpaceDE w:val="0"/>
              <w:autoSpaceDN w:val="0"/>
              <w:adjustRightInd w:val="0"/>
              <w:spacing w:after="0" w:line="240" w:lineRule="auto"/>
              <w:rPr>
                <w:rFonts w:eastAsia="Times New Roman" w:cstheme="minorHAnsi"/>
                <w:b/>
                <w:bCs/>
                <w:color w:val="000000"/>
                <w:sz w:val="16"/>
                <w:szCs w:val="16"/>
                <w:lang w:eastAsia="en-GB"/>
              </w:rPr>
            </w:pPr>
            <w:r w:rsidRPr="00BE6A1C">
              <w:rPr>
                <w:rFonts w:eastAsia="Times New Roman" w:cstheme="minorHAnsi"/>
                <w:color w:val="000000"/>
                <w:sz w:val="16"/>
                <w:szCs w:val="16"/>
                <w:lang w:eastAsia="en-GB"/>
              </w:rPr>
              <w:t>Amortisation - computer software</w:t>
            </w:r>
          </w:p>
        </w:tc>
        <w:tc>
          <w:tcPr>
            <w:tcW w:w="339" w:type="dxa"/>
            <w:tcBorders>
              <w:top w:val="nil"/>
              <w:left w:val="nil"/>
              <w:bottom w:val="nil"/>
              <w:right w:val="nil"/>
            </w:tcBorders>
            <w:shd w:val="clear" w:color="000000" w:fill="FFFFFF"/>
            <w:noWrap/>
            <w:vAlign w:val="bottom"/>
          </w:tcPr>
          <w:p w14:paraId="402D900D" w14:textId="77777777" w:rsidR="00D25BF9" w:rsidRPr="00BE6A1C" w:rsidRDefault="00D25BF9" w:rsidP="00D25BF9">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0" w:type="dxa"/>
            <w:tcBorders>
              <w:top w:val="nil"/>
              <w:left w:val="nil"/>
              <w:right w:val="nil"/>
            </w:tcBorders>
            <w:shd w:val="clear" w:color="000000" w:fill="FFFFFF"/>
            <w:noWrap/>
            <w:vAlign w:val="bottom"/>
          </w:tcPr>
          <w:p w14:paraId="2EFC0B1B" w14:textId="57E6F6FD" w:rsidR="00D25BF9" w:rsidRPr="00BE6A1C" w:rsidRDefault="00C75B87" w:rsidP="00D25BF9">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134</w:t>
            </w:r>
          </w:p>
        </w:tc>
        <w:tc>
          <w:tcPr>
            <w:tcW w:w="345" w:type="dxa"/>
            <w:tcBorders>
              <w:top w:val="nil"/>
              <w:left w:val="nil"/>
              <w:right w:val="nil"/>
            </w:tcBorders>
            <w:shd w:val="clear" w:color="000000" w:fill="FFFFFF"/>
            <w:noWrap/>
            <w:vAlign w:val="bottom"/>
          </w:tcPr>
          <w:p w14:paraId="1642D01F" w14:textId="77777777" w:rsidR="00D25BF9" w:rsidRPr="00BE6A1C" w:rsidRDefault="00D25BF9" w:rsidP="00D25BF9">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356" w:type="dxa"/>
            <w:tcBorders>
              <w:top w:val="nil"/>
              <w:left w:val="nil"/>
              <w:right w:val="nil"/>
            </w:tcBorders>
            <w:shd w:val="clear" w:color="000000" w:fill="FFFFFF"/>
            <w:vAlign w:val="bottom"/>
          </w:tcPr>
          <w:p w14:paraId="279A39E3" w14:textId="7FD14487" w:rsidR="00D25BF9" w:rsidRPr="00BE6A1C" w:rsidRDefault="00D25BF9" w:rsidP="00D25BF9">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BE6A1C">
              <w:rPr>
                <w:rFonts w:eastAsia="Times New Roman" w:cstheme="minorHAnsi"/>
                <w:bCs/>
                <w:color w:val="000000"/>
                <w:sz w:val="16"/>
                <w:szCs w:val="16"/>
                <w:lang w:eastAsia="en-GB"/>
              </w:rPr>
              <w:t>2</w:t>
            </w:r>
            <w:r w:rsidR="008A6A03">
              <w:rPr>
                <w:rFonts w:eastAsia="Times New Roman" w:cstheme="minorHAnsi"/>
                <w:bCs/>
                <w:color w:val="000000"/>
                <w:sz w:val="16"/>
                <w:szCs w:val="16"/>
                <w:lang w:eastAsia="en-GB"/>
              </w:rPr>
              <w:t>23</w:t>
            </w:r>
          </w:p>
        </w:tc>
      </w:tr>
      <w:tr w:rsidR="00D25BF9" w:rsidRPr="00BE6A1C" w14:paraId="5BEC9B3D" w14:textId="77777777" w:rsidTr="00705078">
        <w:trPr>
          <w:trHeight w:val="284"/>
        </w:trPr>
        <w:tc>
          <w:tcPr>
            <w:tcW w:w="5104" w:type="dxa"/>
            <w:tcBorders>
              <w:top w:val="nil"/>
              <w:left w:val="nil"/>
              <w:bottom w:val="nil"/>
              <w:right w:val="nil"/>
            </w:tcBorders>
            <w:shd w:val="clear" w:color="000000" w:fill="FFFFFF"/>
            <w:noWrap/>
            <w:vAlign w:val="bottom"/>
          </w:tcPr>
          <w:p w14:paraId="3D418B49" w14:textId="76F6E86B" w:rsidR="00D25BF9" w:rsidRPr="00BE6A1C" w:rsidRDefault="00D25BF9" w:rsidP="00D25BF9">
            <w:pPr>
              <w:keepLines/>
              <w:widowControl w:val="0"/>
              <w:autoSpaceDE w:val="0"/>
              <w:autoSpaceDN w:val="0"/>
              <w:adjustRightInd w:val="0"/>
              <w:spacing w:after="0" w:line="240" w:lineRule="auto"/>
              <w:rPr>
                <w:rFonts w:eastAsia="Times New Roman" w:cstheme="minorHAnsi"/>
                <w:color w:val="000000"/>
                <w:sz w:val="16"/>
                <w:szCs w:val="16"/>
                <w:lang w:eastAsia="en-GB"/>
              </w:rPr>
            </w:pPr>
            <w:r w:rsidRPr="00BE6A1C">
              <w:rPr>
                <w:rFonts w:eastAsia="Times New Roman" w:cstheme="minorHAnsi"/>
                <w:color w:val="000000"/>
                <w:sz w:val="16"/>
                <w:szCs w:val="16"/>
                <w:lang w:eastAsia="en-GB"/>
              </w:rPr>
              <w:t>Net credit loss charge</w:t>
            </w:r>
          </w:p>
        </w:tc>
        <w:tc>
          <w:tcPr>
            <w:tcW w:w="339" w:type="dxa"/>
            <w:tcBorders>
              <w:top w:val="nil"/>
              <w:left w:val="nil"/>
              <w:bottom w:val="nil"/>
              <w:right w:val="nil"/>
            </w:tcBorders>
            <w:shd w:val="clear" w:color="000000" w:fill="FFFFFF"/>
            <w:noWrap/>
            <w:vAlign w:val="bottom"/>
          </w:tcPr>
          <w:p w14:paraId="1689411F" w14:textId="77777777" w:rsidR="00D25BF9" w:rsidRPr="00BE6A1C" w:rsidRDefault="00D25BF9" w:rsidP="00D25BF9">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0" w:type="dxa"/>
            <w:tcBorders>
              <w:top w:val="nil"/>
              <w:left w:val="nil"/>
              <w:right w:val="nil"/>
            </w:tcBorders>
            <w:shd w:val="clear" w:color="000000" w:fill="FFFFFF"/>
            <w:noWrap/>
            <w:vAlign w:val="bottom"/>
          </w:tcPr>
          <w:p w14:paraId="2A93F9C9" w14:textId="3968C102" w:rsidR="00D25BF9" w:rsidRPr="00BE6A1C" w:rsidRDefault="00C75B87" w:rsidP="00D25BF9">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2,437</w:t>
            </w:r>
          </w:p>
        </w:tc>
        <w:tc>
          <w:tcPr>
            <w:tcW w:w="345" w:type="dxa"/>
            <w:tcBorders>
              <w:top w:val="nil"/>
              <w:left w:val="nil"/>
              <w:right w:val="nil"/>
            </w:tcBorders>
            <w:shd w:val="clear" w:color="000000" w:fill="FFFFFF"/>
            <w:noWrap/>
            <w:vAlign w:val="bottom"/>
          </w:tcPr>
          <w:p w14:paraId="09E25E5A" w14:textId="77777777" w:rsidR="00D25BF9" w:rsidRPr="00BE6A1C" w:rsidRDefault="00D25BF9" w:rsidP="00D25BF9">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356" w:type="dxa"/>
            <w:tcBorders>
              <w:top w:val="nil"/>
              <w:left w:val="nil"/>
              <w:right w:val="nil"/>
            </w:tcBorders>
            <w:shd w:val="clear" w:color="000000" w:fill="FFFFFF"/>
            <w:vAlign w:val="bottom"/>
          </w:tcPr>
          <w:p w14:paraId="2A0BD1BA" w14:textId="2ACEF1EE" w:rsidR="00D25BF9" w:rsidRPr="00BE6A1C" w:rsidRDefault="008A6A03" w:rsidP="00D25BF9">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930</w:t>
            </w:r>
          </w:p>
        </w:tc>
      </w:tr>
      <w:tr w:rsidR="00D25BF9" w:rsidRPr="00BE6A1C" w14:paraId="5481ABB5" w14:textId="77777777" w:rsidTr="00705078">
        <w:trPr>
          <w:trHeight w:val="284"/>
        </w:trPr>
        <w:tc>
          <w:tcPr>
            <w:tcW w:w="5104" w:type="dxa"/>
            <w:tcBorders>
              <w:top w:val="nil"/>
              <w:left w:val="nil"/>
              <w:bottom w:val="nil"/>
              <w:right w:val="nil"/>
            </w:tcBorders>
            <w:shd w:val="clear" w:color="000000" w:fill="FFFFFF"/>
            <w:noWrap/>
            <w:vAlign w:val="bottom"/>
          </w:tcPr>
          <w:p w14:paraId="1F0C66ED" w14:textId="77777777" w:rsidR="00D25BF9" w:rsidRPr="00BE6A1C" w:rsidRDefault="00D25BF9" w:rsidP="00D25BF9">
            <w:pPr>
              <w:keepLines/>
              <w:widowControl w:val="0"/>
              <w:autoSpaceDE w:val="0"/>
              <w:autoSpaceDN w:val="0"/>
              <w:adjustRightInd w:val="0"/>
              <w:spacing w:after="0" w:line="240" w:lineRule="auto"/>
              <w:rPr>
                <w:rFonts w:eastAsia="Times New Roman" w:cstheme="minorHAnsi"/>
                <w:color w:val="000000"/>
                <w:sz w:val="16"/>
                <w:szCs w:val="16"/>
                <w:lang w:eastAsia="en-GB"/>
              </w:rPr>
            </w:pPr>
            <w:r w:rsidRPr="00BE6A1C">
              <w:rPr>
                <w:rFonts w:eastAsia="Times New Roman" w:cstheme="minorHAnsi"/>
                <w:color w:val="000000"/>
                <w:sz w:val="16"/>
                <w:szCs w:val="16"/>
                <w:lang w:eastAsia="en-GB"/>
              </w:rPr>
              <w:t>Funding facility interest charges</w:t>
            </w:r>
          </w:p>
        </w:tc>
        <w:tc>
          <w:tcPr>
            <w:tcW w:w="339" w:type="dxa"/>
            <w:tcBorders>
              <w:top w:val="nil"/>
              <w:left w:val="nil"/>
              <w:bottom w:val="nil"/>
              <w:right w:val="nil"/>
            </w:tcBorders>
            <w:shd w:val="clear" w:color="000000" w:fill="FFFFFF"/>
            <w:noWrap/>
            <w:vAlign w:val="bottom"/>
          </w:tcPr>
          <w:p w14:paraId="39D55DED" w14:textId="77777777" w:rsidR="00D25BF9" w:rsidRPr="00BE6A1C" w:rsidRDefault="00D25BF9" w:rsidP="00D25BF9">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0" w:type="dxa"/>
            <w:tcBorders>
              <w:top w:val="nil"/>
              <w:left w:val="nil"/>
              <w:right w:val="nil"/>
            </w:tcBorders>
            <w:shd w:val="clear" w:color="000000" w:fill="FFFFFF"/>
            <w:noWrap/>
            <w:vAlign w:val="bottom"/>
          </w:tcPr>
          <w:p w14:paraId="4981200B" w14:textId="027969EC" w:rsidR="00D25BF9" w:rsidRPr="00BE6A1C" w:rsidRDefault="00C75B87" w:rsidP="00D25BF9">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4,547</w:t>
            </w:r>
          </w:p>
        </w:tc>
        <w:tc>
          <w:tcPr>
            <w:tcW w:w="345" w:type="dxa"/>
            <w:tcBorders>
              <w:top w:val="nil"/>
              <w:left w:val="nil"/>
              <w:right w:val="nil"/>
            </w:tcBorders>
            <w:shd w:val="clear" w:color="000000" w:fill="FFFFFF"/>
            <w:noWrap/>
            <w:vAlign w:val="bottom"/>
          </w:tcPr>
          <w:p w14:paraId="79B722C1" w14:textId="77777777" w:rsidR="00D25BF9" w:rsidRPr="00BE6A1C" w:rsidRDefault="00D25BF9" w:rsidP="00D25BF9">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356" w:type="dxa"/>
            <w:tcBorders>
              <w:top w:val="nil"/>
              <w:left w:val="nil"/>
              <w:right w:val="nil"/>
            </w:tcBorders>
            <w:shd w:val="clear" w:color="000000" w:fill="FFFFFF"/>
            <w:vAlign w:val="bottom"/>
          </w:tcPr>
          <w:p w14:paraId="17D5CAF4" w14:textId="53719667" w:rsidR="00D25BF9" w:rsidRPr="00BE6A1C" w:rsidRDefault="008A6A03" w:rsidP="00D25BF9">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2,515</w:t>
            </w:r>
          </w:p>
        </w:tc>
      </w:tr>
      <w:tr w:rsidR="00D25BF9" w:rsidRPr="00BE6A1C" w14:paraId="1C9662A4" w14:textId="77777777" w:rsidTr="00705078">
        <w:trPr>
          <w:trHeight w:val="284"/>
        </w:trPr>
        <w:tc>
          <w:tcPr>
            <w:tcW w:w="5104" w:type="dxa"/>
            <w:tcBorders>
              <w:top w:val="nil"/>
              <w:left w:val="nil"/>
              <w:bottom w:val="nil"/>
              <w:right w:val="nil"/>
            </w:tcBorders>
            <w:shd w:val="clear" w:color="000000" w:fill="FFFFFF"/>
            <w:noWrap/>
            <w:vAlign w:val="bottom"/>
          </w:tcPr>
          <w:p w14:paraId="0DA52290" w14:textId="77777777" w:rsidR="00D25BF9" w:rsidRPr="00BE6A1C" w:rsidRDefault="00D25BF9" w:rsidP="00D25BF9">
            <w:pPr>
              <w:keepLines/>
              <w:widowControl w:val="0"/>
              <w:autoSpaceDE w:val="0"/>
              <w:autoSpaceDN w:val="0"/>
              <w:adjustRightInd w:val="0"/>
              <w:spacing w:after="0" w:line="240" w:lineRule="auto"/>
              <w:rPr>
                <w:rFonts w:eastAsia="Times New Roman" w:cstheme="minorHAnsi"/>
                <w:color w:val="000000"/>
                <w:sz w:val="16"/>
                <w:szCs w:val="16"/>
                <w:lang w:eastAsia="en-GB"/>
              </w:rPr>
            </w:pPr>
            <w:r w:rsidRPr="00BE6A1C">
              <w:rPr>
                <w:rFonts w:eastAsia="Times New Roman" w:cstheme="minorHAnsi"/>
                <w:color w:val="000000"/>
                <w:sz w:val="16"/>
                <w:szCs w:val="16"/>
                <w:lang w:eastAsia="en-GB"/>
              </w:rPr>
              <w:t>Introducer commissions</w:t>
            </w:r>
          </w:p>
        </w:tc>
        <w:tc>
          <w:tcPr>
            <w:tcW w:w="339" w:type="dxa"/>
            <w:tcBorders>
              <w:top w:val="nil"/>
              <w:left w:val="nil"/>
              <w:bottom w:val="nil"/>
              <w:right w:val="nil"/>
            </w:tcBorders>
            <w:shd w:val="clear" w:color="000000" w:fill="FFFFFF"/>
            <w:noWrap/>
            <w:vAlign w:val="bottom"/>
          </w:tcPr>
          <w:p w14:paraId="132BB6B2" w14:textId="77777777" w:rsidR="00D25BF9" w:rsidRPr="00BE6A1C" w:rsidRDefault="00D25BF9" w:rsidP="00D25BF9">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0" w:type="dxa"/>
            <w:tcBorders>
              <w:top w:val="nil"/>
              <w:left w:val="nil"/>
              <w:right w:val="nil"/>
            </w:tcBorders>
            <w:shd w:val="clear" w:color="000000" w:fill="FFFFFF"/>
            <w:noWrap/>
            <w:vAlign w:val="bottom"/>
          </w:tcPr>
          <w:p w14:paraId="0F0C8FFA" w14:textId="35D42022" w:rsidR="00D25BF9" w:rsidRPr="00BE6A1C" w:rsidRDefault="00C75B87" w:rsidP="00D25BF9">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2,868</w:t>
            </w:r>
          </w:p>
        </w:tc>
        <w:tc>
          <w:tcPr>
            <w:tcW w:w="345" w:type="dxa"/>
            <w:tcBorders>
              <w:top w:val="nil"/>
              <w:left w:val="nil"/>
              <w:right w:val="nil"/>
            </w:tcBorders>
            <w:shd w:val="clear" w:color="000000" w:fill="FFFFFF"/>
            <w:noWrap/>
            <w:vAlign w:val="bottom"/>
          </w:tcPr>
          <w:p w14:paraId="6FFC1DF8" w14:textId="77777777" w:rsidR="00D25BF9" w:rsidRPr="00BE6A1C" w:rsidRDefault="00D25BF9" w:rsidP="00D25BF9">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356" w:type="dxa"/>
            <w:tcBorders>
              <w:top w:val="nil"/>
              <w:left w:val="nil"/>
              <w:right w:val="nil"/>
            </w:tcBorders>
            <w:shd w:val="clear" w:color="000000" w:fill="FFFFFF"/>
            <w:vAlign w:val="bottom"/>
          </w:tcPr>
          <w:p w14:paraId="4BFF4BFE" w14:textId="4AC98BE7" w:rsidR="00D25BF9" w:rsidRPr="00BE6A1C" w:rsidRDefault="00C75B87" w:rsidP="00D25BF9">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Pr>
                <w:rFonts w:eastAsia="Times New Roman" w:cstheme="minorHAnsi"/>
                <w:bCs/>
                <w:color w:val="000000"/>
                <w:sz w:val="16"/>
                <w:szCs w:val="16"/>
                <w:lang w:eastAsia="en-GB"/>
              </w:rPr>
              <w:t>3,014</w:t>
            </w:r>
          </w:p>
        </w:tc>
      </w:tr>
      <w:tr w:rsidR="00D25BF9" w:rsidRPr="00BE6A1C" w14:paraId="4E19056D" w14:textId="77777777" w:rsidTr="00705078">
        <w:trPr>
          <w:trHeight w:val="284"/>
        </w:trPr>
        <w:tc>
          <w:tcPr>
            <w:tcW w:w="5104" w:type="dxa"/>
            <w:tcBorders>
              <w:top w:val="nil"/>
              <w:left w:val="nil"/>
              <w:bottom w:val="nil"/>
              <w:right w:val="nil"/>
            </w:tcBorders>
            <w:shd w:val="clear" w:color="000000" w:fill="FFFFFF"/>
            <w:noWrap/>
            <w:vAlign w:val="bottom"/>
          </w:tcPr>
          <w:p w14:paraId="5052DFC8" w14:textId="042C9035" w:rsidR="00D25BF9" w:rsidRPr="00BE6A1C" w:rsidRDefault="00D25BF9" w:rsidP="00D25BF9">
            <w:pPr>
              <w:keepLines/>
              <w:widowControl w:val="0"/>
              <w:autoSpaceDE w:val="0"/>
              <w:autoSpaceDN w:val="0"/>
              <w:adjustRightInd w:val="0"/>
              <w:spacing w:after="0" w:line="240" w:lineRule="auto"/>
              <w:rPr>
                <w:rFonts w:eastAsia="Times New Roman" w:cstheme="minorHAnsi"/>
                <w:bCs/>
                <w:color w:val="000000"/>
                <w:sz w:val="16"/>
                <w:szCs w:val="16"/>
                <w:lang w:eastAsia="en-GB"/>
              </w:rPr>
            </w:pPr>
            <w:r w:rsidRPr="00BE6A1C">
              <w:rPr>
                <w:rFonts w:eastAsia="Times New Roman" w:cstheme="minorHAnsi"/>
                <w:color w:val="000000"/>
                <w:sz w:val="16"/>
                <w:szCs w:val="16"/>
                <w:lang w:eastAsia="en-GB"/>
              </w:rPr>
              <w:t>Fees payable to the Company’s auditor for audit of Company’s subsidiaries</w:t>
            </w:r>
          </w:p>
        </w:tc>
        <w:tc>
          <w:tcPr>
            <w:tcW w:w="339" w:type="dxa"/>
            <w:tcBorders>
              <w:top w:val="nil"/>
              <w:left w:val="nil"/>
              <w:bottom w:val="nil"/>
              <w:right w:val="nil"/>
            </w:tcBorders>
            <w:shd w:val="clear" w:color="000000" w:fill="FFFFFF"/>
            <w:noWrap/>
            <w:vAlign w:val="bottom"/>
          </w:tcPr>
          <w:p w14:paraId="165FC9F6" w14:textId="77777777" w:rsidR="00D25BF9" w:rsidRPr="00BE6A1C" w:rsidRDefault="00D25BF9" w:rsidP="00D25BF9">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070" w:type="dxa"/>
            <w:tcBorders>
              <w:top w:val="nil"/>
              <w:left w:val="nil"/>
              <w:right w:val="nil"/>
            </w:tcBorders>
            <w:shd w:val="clear" w:color="000000" w:fill="FFFFFF"/>
            <w:noWrap/>
            <w:vAlign w:val="bottom"/>
          </w:tcPr>
          <w:p w14:paraId="73D38EB9" w14:textId="38B48157" w:rsidR="00D25BF9" w:rsidRPr="00BE6A1C" w:rsidRDefault="00C75B87" w:rsidP="00D25BF9">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68</w:t>
            </w:r>
          </w:p>
        </w:tc>
        <w:tc>
          <w:tcPr>
            <w:tcW w:w="345" w:type="dxa"/>
            <w:tcBorders>
              <w:top w:val="nil"/>
              <w:left w:val="nil"/>
              <w:right w:val="nil"/>
            </w:tcBorders>
            <w:shd w:val="clear" w:color="000000" w:fill="FFFFFF"/>
            <w:noWrap/>
            <w:vAlign w:val="bottom"/>
          </w:tcPr>
          <w:p w14:paraId="16173D6E" w14:textId="77777777" w:rsidR="00D25BF9" w:rsidRPr="00BE6A1C" w:rsidRDefault="00D25BF9" w:rsidP="00D25BF9">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356" w:type="dxa"/>
            <w:tcBorders>
              <w:top w:val="nil"/>
              <w:left w:val="nil"/>
              <w:right w:val="nil"/>
            </w:tcBorders>
            <w:shd w:val="clear" w:color="000000" w:fill="FFFFFF"/>
            <w:vAlign w:val="bottom"/>
          </w:tcPr>
          <w:p w14:paraId="12FA10C4" w14:textId="4F5F4E38" w:rsidR="00D25BF9" w:rsidRPr="00BE6A1C" w:rsidRDefault="00D25BF9" w:rsidP="00D25BF9">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BE6A1C">
              <w:rPr>
                <w:rFonts w:eastAsia="Times New Roman" w:cstheme="minorHAnsi"/>
                <w:bCs/>
                <w:color w:val="000000"/>
                <w:sz w:val="16"/>
                <w:szCs w:val="16"/>
                <w:lang w:eastAsia="en-GB"/>
              </w:rPr>
              <w:t>72</w:t>
            </w:r>
          </w:p>
        </w:tc>
      </w:tr>
      <w:tr w:rsidR="00D25BF9" w:rsidRPr="00BE6A1C" w14:paraId="442D8AE7" w14:textId="77777777" w:rsidTr="00705078">
        <w:trPr>
          <w:trHeight w:val="284"/>
        </w:trPr>
        <w:tc>
          <w:tcPr>
            <w:tcW w:w="5104" w:type="dxa"/>
            <w:tcBorders>
              <w:top w:val="nil"/>
              <w:left w:val="nil"/>
              <w:bottom w:val="nil"/>
              <w:right w:val="nil"/>
            </w:tcBorders>
            <w:shd w:val="clear" w:color="000000" w:fill="FFFFFF"/>
            <w:noWrap/>
            <w:vAlign w:val="bottom"/>
            <w:hideMark/>
          </w:tcPr>
          <w:p w14:paraId="30F209E1" w14:textId="213DFE69" w:rsidR="00D25BF9" w:rsidRPr="00BE6A1C" w:rsidRDefault="00D25BF9" w:rsidP="00D25BF9">
            <w:pPr>
              <w:keepLines/>
              <w:widowControl w:val="0"/>
              <w:autoSpaceDE w:val="0"/>
              <w:autoSpaceDN w:val="0"/>
              <w:adjustRightInd w:val="0"/>
              <w:spacing w:after="0" w:line="240" w:lineRule="auto"/>
              <w:rPr>
                <w:rFonts w:eastAsia="Times New Roman" w:cstheme="minorHAnsi"/>
                <w:color w:val="000000"/>
                <w:sz w:val="16"/>
                <w:szCs w:val="16"/>
                <w:lang w:eastAsia="en-GB"/>
              </w:rPr>
            </w:pPr>
            <w:r w:rsidRPr="00BE6A1C">
              <w:rPr>
                <w:rFonts w:eastAsia="Times New Roman" w:cstheme="minorHAnsi"/>
                <w:color w:val="000000"/>
                <w:sz w:val="16"/>
                <w:szCs w:val="16"/>
                <w:lang w:eastAsia="en-GB"/>
              </w:rPr>
              <w:t>Fees payable to the Company’s auditor for the audit of the Company</w:t>
            </w:r>
          </w:p>
        </w:tc>
        <w:tc>
          <w:tcPr>
            <w:tcW w:w="339" w:type="dxa"/>
            <w:tcBorders>
              <w:top w:val="nil"/>
              <w:left w:val="nil"/>
              <w:bottom w:val="nil"/>
              <w:right w:val="nil"/>
            </w:tcBorders>
            <w:shd w:val="clear" w:color="000000" w:fill="FFFFFF"/>
            <w:noWrap/>
            <w:vAlign w:val="bottom"/>
            <w:hideMark/>
          </w:tcPr>
          <w:p w14:paraId="5071CA10" w14:textId="77777777" w:rsidR="00D25BF9" w:rsidRPr="00BE6A1C" w:rsidRDefault="00D25BF9" w:rsidP="00D25BF9">
            <w:pPr>
              <w:keepLines/>
              <w:widowControl w:val="0"/>
              <w:autoSpaceDE w:val="0"/>
              <w:autoSpaceDN w:val="0"/>
              <w:adjustRightInd w:val="0"/>
              <w:spacing w:after="0" w:line="240" w:lineRule="auto"/>
              <w:rPr>
                <w:rFonts w:eastAsia="Times New Roman" w:cstheme="minorHAnsi"/>
                <w:color w:val="000000"/>
                <w:sz w:val="16"/>
                <w:szCs w:val="16"/>
                <w:lang w:eastAsia="en-GB"/>
              </w:rPr>
            </w:pPr>
            <w:r w:rsidRPr="00BE6A1C">
              <w:rPr>
                <w:rFonts w:eastAsia="Times New Roman" w:cstheme="minorHAnsi"/>
                <w:color w:val="000000"/>
                <w:sz w:val="16"/>
                <w:szCs w:val="16"/>
                <w:lang w:eastAsia="en-GB"/>
              </w:rPr>
              <w:t> </w:t>
            </w:r>
          </w:p>
        </w:tc>
        <w:tc>
          <w:tcPr>
            <w:tcW w:w="2070" w:type="dxa"/>
            <w:tcBorders>
              <w:top w:val="nil"/>
              <w:left w:val="nil"/>
              <w:bottom w:val="nil"/>
              <w:right w:val="nil"/>
            </w:tcBorders>
            <w:shd w:val="clear" w:color="000000" w:fill="FFFFFF"/>
            <w:noWrap/>
            <w:vAlign w:val="bottom"/>
            <w:hideMark/>
          </w:tcPr>
          <w:p w14:paraId="3861B309" w14:textId="53C6003B" w:rsidR="00D25BF9" w:rsidRPr="00BE6A1C" w:rsidRDefault="00D25BF9" w:rsidP="00D25BF9">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BE6A1C">
              <w:rPr>
                <w:rFonts w:eastAsia="Times New Roman" w:cstheme="minorHAnsi"/>
                <w:b/>
                <w:color w:val="000000"/>
                <w:sz w:val="16"/>
                <w:szCs w:val="16"/>
                <w:lang w:eastAsia="en-GB"/>
              </w:rPr>
              <w:t>1</w:t>
            </w:r>
            <w:r w:rsidR="00C75B87">
              <w:rPr>
                <w:rFonts w:eastAsia="Times New Roman" w:cstheme="minorHAnsi"/>
                <w:b/>
                <w:color w:val="000000"/>
                <w:sz w:val="16"/>
                <w:szCs w:val="16"/>
                <w:lang w:eastAsia="en-GB"/>
              </w:rPr>
              <w:t>6</w:t>
            </w:r>
          </w:p>
        </w:tc>
        <w:tc>
          <w:tcPr>
            <w:tcW w:w="345" w:type="dxa"/>
            <w:tcBorders>
              <w:top w:val="nil"/>
              <w:left w:val="nil"/>
              <w:bottom w:val="nil"/>
              <w:right w:val="nil"/>
            </w:tcBorders>
            <w:shd w:val="clear" w:color="000000" w:fill="FFFFFF"/>
            <w:noWrap/>
            <w:vAlign w:val="bottom"/>
            <w:hideMark/>
          </w:tcPr>
          <w:p w14:paraId="171E3757" w14:textId="77777777" w:rsidR="00D25BF9" w:rsidRPr="00BE6A1C" w:rsidRDefault="00D25BF9" w:rsidP="00D25BF9">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r w:rsidRPr="00BE6A1C">
              <w:rPr>
                <w:rFonts w:eastAsia="Times New Roman" w:cstheme="minorHAnsi"/>
                <w:color w:val="FF0000"/>
                <w:sz w:val="16"/>
                <w:szCs w:val="16"/>
                <w:lang w:eastAsia="en-GB"/>
              </w:rPr>
              <w:t> </w:t>
            </w:r>
          </w:p>
        </w:tc>
        <w:tc>
          <w:tcPr>
            <w:tcW w:w="1356" w:type="dxa"/>
            <w:tcBorders>
              <w:top w:val="nil"/>
              <w:left w:val="nil"/>
              <w:bottom w:val="nil"/>
              <w:right w:val="nil"/>
            </w:tcBorders>
            <w:shd w:val="clear" w:color="000000" w:fill="FFFFFF"/>
            <w:vAlign w:val="bottom"/>
          </w:tcPr>
          <w:p w14:paraId="2E9325F1" w14:textId="78958794" w:rsidR="00D25BF9" w:rsidRPr="00BE6A1C" w:rsidRDefault="00D25BF9" w:rsidP="00D25BF9">
            <w:pPr>
              <w:keepLines/>
              <w:widowControl w:val="0"/>
              <w:autoSpaceDE w:val="0"/>
              <w:autoSpaceDN w:val="0"/>
              <w:adjustRightInd w:val="0"/>
              <w:spacing w:after="0" w:line="240" w:lineRule="auto"/>
              <w:jc w:val="right"/>
              <w:rPr>
                <w:rFonts w:eastAsia="Times New Roman" w:cstheme="minorHAnsi"/>
                <w:bCs/>
                <w:color w:val="000000"/>
                <w:sz w:val="16"/>
                <w:szCs w:val="16"/>
                <w:lang w:eastAsia="en-GB"/>
              </w:rPr>
            </w:pPr>
            <w:r w:rsidRPr="00BE6A1C">
              <w:rPr>
                <w:rFonts w:eastAsia="Times New Roman" w:cstheme="minorHAnsi"/>
                <w:bCs/>
                <w:color w:val="000000"/>
                <w:sz w:val="16"/>
                <w:szCs w:val="16"/>
                <w:lang w:eastAsia="en-GB"/>
              </w:rPr>
              <w:t>1</w:t>
            </w:r>
            <w:r w:rsidR="00C75B87">
              <w:rPr>
                <w:rFonts w:eastAsia="Times New Roman" w:cstheme="minorHAnsi"/>
                <w:bCs/>
                <w:color w:val="000000"/>
                <w:sz w:val="16"/>
                <w:szCs w:val="16"/>
                <w:lang w:eastAsia="en-GB"/>
              </w:rPr>
              <w:t>4</w:t>
            </w:r>
          </w:p>
        </w:tc>
      </w:tr>
    </w:tbl>
    <w:p w14:paraId="7C62C0B2" w14:textId="77777777" w:rsidR="00C75B87" w:rsidRDefault="00C75B87" w:rsidP="00CA706F">
      <w:pPr>
        <w:widowControl w:val="0"/>
        <w:tabs>
          <w:tab w:val="left" w:pos="941"/>
        </w:tabs>
        <w:autoSpaceDE w:val="0"/>
        <w:autoSpaceDN w:val="0"/>
        <w:adjustRightInd w:val="0"/>
        <w:spacing w:after="0" w:line="240" w:lineRule="auto"/>
        <w:ind w:right="941"/>
        <w:rPr>
          <w:rFonts w:eastAsia="Times New Roman" w:cstheme="minorHAnsi"/>
          <w:b/>
          <w:bCs/>
          <w:color w:val="000000"/>
          <w:lang w:eastAsia="en-GB"/>
        </w:rPr>
      </w:pPr>
    </w:p>
    <w:p w14:paraId="25A3E2E8" w14:textId="1B7F440F" w:rsidR="00887F65" w:rsidRPr="00031BB9" w:rsidRDefault="00887F65" w:rsidP="00CA706F">
      <w:pPr>
        <w:widowControl w:val="0"/>
        <w:tabs>
          <w:tab w:val="left" w:pos="941"/>
        </w:tabs>
        <w:autoSpaceDE w:val="0"/>
        <w:autoSpaceDN w:val="0"/>
        <w:adjustRightInd w:val="0"/>
        <w:spacing w:after="0" w:line="240" w:lineRule="auto"/>
        <w:ind w:right="941"/>
        <w:rPr>
          <w:rFonts w:eastAsia="Times New Roman" w:cstheme="minorHAnsi"/>
          <w:b/>
          <w:bCs/>
          <w:color w:val="000000"/>
          <w:lang w:eastAsia="en-GB"/>
        </w:rPr>
      </w:pPr>
      <w:r w:rsidRPr="00031BB9">
        <w:rPr>
          <w:rFonts w:eastAsia="Times New Roman" w:cstheme="minorHAnsi"/>
          <w:b/>
          <w:bCs/>
          <w:color w:val="000000"/>
          <w:lang w:eastAsia="en-GB"/>
        </w:rPr>
        <w:tab/>
      </w:r>
    </w:p>
    <w:p w14:paraId="3389AF44" w14:textId="75980A71" w:rsidR="00887F65" w:rsidRPr="00C72559" w:rsidRDefault="00887F65" w:rsidP="00C72559">
      <w:pPr>
        <w:pStyle w:val="ListParagraph"/>
        <w:widowControl w:val="0"/>
        <w:numPr>
          <w:ilvl w:val="0"/>
          <w:numId w:val="25"/>
        </w:numPr>
        <w:tabs>
          <w:tab w:val="left" w:pos="941"/>
        </w:tabs>
        <w:autoSpaceDE w:val="0"/>
        <w:autoSpaceDN w:val="0"/>
        <w:adjustRightInd w:val="0"/>
        <w:spacing w:after="0" w:line="240" w:lineRule="auto"/>
        <w:ind w:left="426" w:right="941" w:hanging="426"/>
        <w:rPr>
          <w:rFonts w:eastAsia="Times New Roman" w:cstheme="minorHAnsi"/>
          <w:b/>
          <w:bCs/>
          <w:color w:val="000000"/>
          <w:lang w:eastAsia="en-GB"/>
        </w:rPr>
      </w:pPr>
      <w:r w:rsidRPr="00031BB9">
        <w:rPr>
          <w:rFonts w:eastAsia="Times New Roman" w:cstheme="minorHAnsi"/>
          <w:b/>
          <w:bCs/>
          <w:color w:val="000000"/>
          <w:lang w:eastAsia="en-GB"/>
        </w:rPr>
        <w:t>DIVIDENDS</w:t>
      </w:r>
    </w:p>
    <w:tbl>
      <w:tblPr>
        <w:tblW w:w="9190" w:type="dxa"/>
        <w:tblLook w:val="04A0" w:firstRow="1" w:lastRow="0" w:firstColumn="1" w:lastColumn="0" w:noHBand="0" w:noVBand="1"/>
      </w:tblPr>
      <w:tblGrid>
        <w:gridCol w:w="5584"/>
        <w:gridCol w:w="339"/>
        <w:gridCol w:w="1448"/>
        <w:gridCol w:w="345"/>
        <w:gridCol w:w="159"/>
        <w:gridCol w:w="819"/>
        <w:gridCol w:w="378"/>
        <w:gridCol w:w="118"/>
      </w:tblGrid>
      <w:tr w:rsidR="00887F65" w:rsidRPr="00031BB9" w14:paraId="0495FA2D" w14:textId="77777777" w:rsidTr="00705078">
        <w:trPr>
          <w:gridAfter w:val="1"/>
          <w:wAfter w:w="118" w:type="dxa"/>
          <w:trHeight w:val="300"/>
        </w:trPr>
        <w:tc>
          <w:tcPr>
            <w:tcW w:w="5584" w:type="dxa"/>
            <w:tcBorders>
              <w:top w:val="nil"/>
              <w:left w:val="nil"/>
              <w:bottom w:val="nil"/>
              <w:right w:val="nil"/>
            </w:tcBorders>
            <w:shd w:val="clear" w:color="000000" w:fill="FFFFFF"/>
            <w:noWrap/>
            <w:vAlign w:val="bottom"/>
            <w:hideMark/>
          </w:tcPr>
          <w:p w14:paraId="4415978C" w14:textId="77777777" w:rsidR="00887F65" w:rsidRPr="00031BB9"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31BB9">
              <w:rPr>
                <w:rFonts w:eastAsia="Times New Roman" w:cstheme="minorHAnsi"/>
                <w:color w:val="000000"/>
                <w:sz w:val="16"/>
                <w:szCs w:val="16"/>
                <w:lang w:eastAsia="en-GB"/>
              </w:rPr>
              <w:t> </w:t>
            </w:r>
          </w:p>
        </w:tc>
        <w:tc>
          <w:tcPr>
            <w:tcW w:w="339" w:type="dxa"/>
            <w:tcBorders>
              <w:top w:val="nil"/>
              <w:left w:val="nil"/>
              <w:bottom w:val="nil"/>
              <w:right w:val="nil"/>
            </w:tcBorders>
            <w:shd w:val="clear" w:color="000000" w:fill="FFFFFF"/>
            <w:noWrap/>
            <w:vAlign w:val="bottom"/>
            <w:hideMark/>
          </w:tcPr>
          <w:p w14:paraId="0B63B984" w14:textId="77777777" w:rsidR="00887F65" w:rsidRPr="00031BB9"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31BB9">
              <w:rPr>
                <w:rFonts w:eastAsia="Times New Roman" w:cstheme="minorHAnsi"/>
                <w:color w:val="000000"/>
                <w:sz w:val="16"/>
                <w:szCs w:val="16"/>
                <w:lang w:eastAsia="en-GB"/>
              </w:rPr>
              <w:t> </w:t>
            </w:r>
          </w:p>
        </w:tc>
        <w:tc>
          <w:tcPr>
            <w:tcW w:w="1448" w:type="dxa"/>
            <w:tcBorders>
              <w:top w:val="nil"/>
              <w:left w:val="nil"/>
              <w:bottom w:val="nil"/>
              <w:right w:val="nil"/>
            </w:tcBorders>
            <w:shd w:val="clear" w:color="000000" w:fill="FFFFFF"/>
            <w:hideMark/>
          </w:tcPr>
          <w:p w14:paraId="0BD0C6C3" w14:textId="675BE80E" w:rsidR="00887F65" w:rsidRPr="00031BB9"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031BB9">
              <w:rPr>
                <w:rFonts w:eastAsia="Times New Roman" w:cstheme="minorHAnsi"/>
                <w:b/>
                <w:color w:val="000000"/>
                <w:sz w:val="16"/>
                <w:szCs w:val="16"/>
                <w:lang w:eastAsia="en-GB"/>
              </w:rPr>
              <w:t>20</w:t>
            </w:r>
            <w:r w:rsidR="004E34FA" w:rsidRPr="00031BB9">
              <w:rPr>
                <w:rFonts w:eastAsia="Times New Roman" w:cstheme="minorHAnsi"/>
                <w:b/>
                <w:color w:val="000000"/>
                <w:sz w:val="16"/>
                <w:szCs w:val="16"/>
                <w:lang w:eastAsia="en-GB"/>
              </w:rPr>
              <w:t>2</w:t>
            </w:r>
            <w:r w:rsidR="00946940">
              <w:rPr>
                <w:rFonts w:eastAsia="Times New Roman" w:cstheme="minorHAnsi"/>
                <w:b/>
                <w:color w:val="000000"/>
                <w:sz w:val="16"/>
                <w:szCs w:val="16"/>
                <w:lang w:eastAsia="en-GB"/>
              </w:rPr>
              <w:t>3</w:t>
            </w:r>
          </w:p>
        </w:tc>
        <w:tc>
          <w:tcPr>
            <w:tcW w:w="345" w:type="dxa"/>
            <w:tcBorders>
              <w:top w:val="nil"/>
              <w:left w:val="nil"/>
              <w:bottom w:val="nil"/>
              <w:right w:val="nil"/>
            </w:tcBorders>
            <w:shd w:val="clear" w:color="000000" w:fill="FFFFFF"/>
            <w:noWrap/>
            <w:hideMark/>
          </w:tcPr>
          <w:p w14:paraId="6365D718" w14:textId="77777777" w:rsidR="00887F65" w:rsidRPr="00031BB9" w:rsidRDefault="00887F65" w:rsidP="00887F65">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r w:rsidRPr="00031BB9">
              <w:rPr>
                <w:rFonts w:eastAsia="Times New Roman" w:cstheme="minorHAnsi"/>
                <w:color w:val="FF0000"/>
                <w:sz w:val="16"/>
                <w:szCs w:val="16"/>
                <w:lang w:eastAsia="en-GB"/>
              </w:rPr>
              <w:t> </w:t>
            </w:r>
          </w:p>
        </w:tc>
        <w:tc>
          <w:tcPr>
            <w:tcW w:w="1356" w:type="dxa"/>
            <w:gridSpan w:val="3"/>
            <w:tcBorders>
              <w:top w:val="nil"/>
              <w:left w:val="nil"/>
              <w:bottom w:val="nil"/>
              <w:right w:val="nil"/>
            </w:tcBorders>
            <w:shd w:val="clear" w:color="000000" w:fill="FFFFFF"/>
            <w:hideMark/>
          </w:tcPr>
          <w:p w14:paraId="54F98CA8" w14:textId="4559AC77" w:rsidR="00887F65" w:rsidRPr="00031BB9"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r w:rsidRPr="00031BB9">
              <w:rPr>
                <w:rFonts w:eastAsia="Times New Roman" w:cstheme="minorHAnsi"/>
                <w:color w:val="000000"/>
                <w:sz w:val="16"/>
                <w:szCs w:val="16"/>
                <w:lang w:eastAsia="en-GB"/>
              </w:rPr>
              <w:t>20</w:t>
            </w:r>
            <w:r w:rsidR="00FC10D6" w:rsidRPr="00031BB9">
              <w:rPr>
                <w:rFonts w:eastAsia="Times New Roman" w:cstheme="minorHAnsi"/>
                <w:color w:val="000000"/>
                <w:sz w:val="16"/>
                <w:szCs w:val="16"/>
                <w:lang w:eastAsia="en-GB"/>
              </w:rPr>
              <w:t>2</w:t>
            </w:r>
            <w:r w:rsidR="00946940">
              <w:rPr>
                <w:rFonts w:eastAsia="Times New Roman" w:cstheme="minorHAnsi"/>
                <w:color w:val="000000"/>
                <w:sz w:val="16"/>
                <w:szCs w:val="16"/>
                <w:lang w:eastAsia="en-GB"/>
              </w:rPr>
              <w:t>2</w:t>
            </w:r>
          </w:p>
        </w:tc>
      </w:tr>
      <w:tr w:rsidR="00887F65" w:rsidRPr="00031BB9" w14:paraId="7EE18FDF" w14:textId="77777777" w:rsidTr="00705078">
        <w:trPr>
          <w:gridAfter w:val="1"/>
          <w:wAfter w:w="118" w:type="dxa"/>
          <w:trHeight w:val="300"/>
        </w:trPr>
        <w:tc>
          <w:tcPr>
            <w:tcW w:w="5584" w:type="dxa"/>
            <w:tcBorders>
              <w:top w:val="nil"/>
              <w:left w:val="nil"/>
              <w:bottom w:val="nil"/>
              <w:right w:val="nil"/>
            </w:tcBorders>
            <w:shd w:val="clear" w:color="000000" w:fill="FFFFFF"/>
            <w:noWrap/>
            <w:vAlign w:val="bottom"/>
            <w:hideMark/>
          </w:tcPr>
          <w:p w14:paraId="08AB4E78" w14:textId="77777777" w:rsidR="00887F65" w:rsidRPr="00031BB9"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31BB9">
              <w:rPr>
                <w:rFonts w:eastAsia="Times New Roman" w:cstheme="minorHAnsi"/>
                <w:color w:val="000000"/>
                <w:sz w:val="16"/>
                <w:szCs w:val="16"/>
                <w:lang w:eastAsia="en-GB"/>
              </w:rPr>
              <w:t> </w:t>
            </w:r>
          </w:p>
        </w:tc>
        <w:tc>
          <w:tcPr>
            <w:tcW w:w="339" w:type="dxa"/>
            <w:tcBorders>
              <w:top w:val="nil"/>
              <w:left w:val="nil"/>
              <w:bottom w:val="nil"/>
              <w:right w:val="nil"/>
            </w:tcBorders>
            <w:shd w:val="clear" w:color="000000" w:fill="FFFFFF"/>
            <w:noWrap/>
            <w:vAlign w:val="bottom"/>
            <w:hideMark/>
          </w:tcPr>
          <w:p w14:paraId="2EEDF4F6" w14:textId="77777777" w:rsidR="00887F65" w:rsidRPr="00031BB9"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31BB9">
              <w:rPr>
                <w:rFonts w:eastAsia="Times New Roman" w:cstheme="minorHAnsi"/>
                <w:color w:val="000000"/>
                <w:sz w:val="16"/>
                <w:szCs w:val="16"/>
                <w:lang w:eastAsia="en-GB"/>
              </w:rPr>
              <w:t> </w:t>
            </w:r>
          </w:p>
        </w:tc>
        <w:tc>
          <w:tcPr>
            <w:tcW w:w="1448" w:type="dxa"/>
            <w:tcBorders>
              <w:top w:val="nil"/>
              <w:left w:val="nil"/>
              <w:bottom w:val="nil"/>
              <w:right w:val="nil"/>
            </w:tcBorders>
            <w:shd w:val="clear" w:color="000000" w:fill="FFFFFF"/>
            <w:hideMark/>
          </w:tcPr>
          <w:p w14:paraId="79DB5103" w14:textId="77777777" w:rsidR="00887F65" w:rsidRPr="00031BB9"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031BB9">
              <w:rPr>
                <w:rFonts w:eastAsia="Times New Roman" w:cstheme="minorHAnsi"/>
                <w:b/>
                <w:color w:val="000000"/>
                <w:sz w:val="16"/>
                <w:szCs w:val="16"/>
                <w:lang w:eastAsia="en-GB"/>
              </w:rPr>
              <w:t>£’000</w:t>
            </w:r>
          </w:p>
        </w:tc>
        <w:tc>
          <w:tcPr>
            <w:tcW w:w="345" w:type="dxa"/>
            <w:tcBorders>
              <w:top w:val="nil"/>
              <w:left w:val="nil"/>
              <w:bottom w:val="nil"/>
              <w:right w:val="nil"/>
            </w:tcBorders>
            <w:shd w:val="clear" w:color="000000" w:fill="FFFFFF"/>
            <w:noWrap/>
            <w:hideMark/>
          </w:tcPr>
          <w:p w14:paraId="6DBFE383" w14:textId="77777777" w:rsidR="00887F65" w:rsidRPr="00031BB9" w:rsidRDefault="00887F65" w:rsidP="00887F65">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r w:rsidRPr="00031BB9">
              <w:rPr>
                <w:rFonts w:eastAsia="Times New Roman" w:cstheme="minorHAnsi"/>
                <w:color w:val="FF0000"/>
                <w:sz w:val="16"/>
                <w:szCs w:val="16"/>
                <w:lang w:eastAsia="en-GB"/>
              </w:rPr>
              <w:t> </w:t>
            </w:r>
          </w:p>
        </w:tc>
        <w:tc>
          <w:tcPr>
            <w:tcW w:w="1356" w:type="dxa"/>
            <w:gridSpan w:val="3"/>
            <w:tcBorders>
              <w:top w:val="nil"/>
              <w:left w:val="nil"/>
              <w:bottom w:val="nil"/>
              <w:right w:val="nil"/>
            </w:tcBorders>
            <w:shd w:val="clear" w:color="000000" w:fill="FFFFFF"/>
            <w:hideMark/>
          </w:tcPr>
          <w:p w14:paraId="75880981" w14:textId="77777777" w:rsidR="00887F65" w:rsidRPr="00031BB9"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r w:rsidRPr="00031BB9">
              <w:rPr>
                <w:rFonts w:eastAsia="Times New Roman" w:cstheme="minorHAnsi"/>
                <w:color w:val="000000"/>
                <w:sz w:val="16"/>
                <w:szCs w:val="16"/>
                <w:lang w:eastAsia="en-GB"/>
              </w:rPr>
              <w:t>£’000</w:t>
            </w:r>
          </w:p>
        </w:tc>
      </w:tr>
      <w:tr w:rsidR="00887F65" w:rsidRPr="00031BB9" w14:paraId="5FDEE92C" w14:textId="77777777" w:rsidTr="00705078">
        <w:trPr>
          <w:gridAfter w:val="1"/>
          <w:wAfter w:w="118" w:type="dxa"/>
          <w:trHeight w:val="284"/>
        </w:trPr>
        <w:tc>
          <w:tcPr>
            <w:tcW w:w="5584" w:type="dxa"/>
            <w:tcBorders>
              <w:top w:val="nil"/>
              <w:left w:val="nil"/>
              <w:bottom w:val="nil"/>
              <w:right w:val="nil"/>
            </w:tcBorders>
            <w:shd w:val="clear" w:color="000000" w:fill="FFFFFF"/>
            <w:noWrap/>
            <w:vAlign w:val="bottom"/>
          </w:tcPr>
          <w:p w14:paraId="2E596183" w14:textId="77777777" w:rsidR="00887F65" w:rsidRPr="00031BB9" w:rsidRDefault="00887F65" w:rsidP="00887F65">
            <w:pPr>
              <w:keepLines/>
              <w:widowControl w:val="0"/>
              <w:autoSpaceDE w:val="0"/>
              <w:autoSpaceDN w:val="0"/>
              <w:adjustRightInd w:val="0"/>
              <w:spacing w:after="0" w:line="240" w:lineRule="auto"/>
              <w:rPr>
                <w:rFonts w:eastAsia="Times New Roman" w:cstheme="minorHAnsi"/>
                <w:bCs/>
                <w:color w:val="000000"/>
                <w:sz w:val="16"/>
                <w:szCs w:val="16"/>
                <w:lang w:eastAsia="en-GB"/>
              </w:rPr>
            </w:pPr>
            <w:r w:rsidRPr="00031BB9">
              <w:rPr>
                <w:rFonts w:eastAsia="Times New Roman" w:cstheme="minorHAnsi"/>
                <w:color w:val="000000"/>
                <w:sz w:val="16"/>
                <w:szCs w:val="16"/>
                <w:lang w:eastAsia="en-GB"/>
              </w:rPr>
              <w:t>Ordinary shares £0.10 each</w:t>
            </w:r>
          </w:p>
        </w:tc>
        <w:tc>
          <w:tcPr>
            <w:tcW w:w="339" w:type="dxa"/>
            <w:tcBorders>
              <w:top w:val="nil"/>
              <w:left w:val="nil"/>
              <w:bottom w:val="nil"/>
              <w:right w:val="nil"/>
            </w:tcBorders>
            <w:shd w:val="clear" w:color="000000" w:fill="FFFFFF"/>
            <w:noWrap/>
            <w:vAlign w:val="bottom"/>
          </w:tcPr>
          <w:p w14:paraId="35FEB00A" w14:textId="77777777" w:rsidR="00887F65" w:rsidRPr="00031BB9"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1448" w:type="dxa"/>
            <w:tcBorders>
              <w:top w:val="nil"/>
              <w:left w:val="nil"/>
              <w:right w:val="nil"/>
            </w:tcBorders>
            <w:shd w:val="clear" w:color="000000" w:fill="FFFFFF"/>
            <w:noWrap/>
            <w:vAlign w:val="bottom"/>
          </w:tcPr>
          <w:p w14:paraId="06B4341F" w14:textId="77777777" w:rsidR="00887F65" w:rsidRPr="00031BB9"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345" w:type="dxa"/>
            <w:tcBorders>
              <w:top w:val="nil"/>
              <w:left w:val="nil"/>
              <w:right w:val="nil"/>
            </w:tcBorders>
            <w:shd w:val="clear" w:color="000000" w:fill="FFFFFF"/>
            <w:noWrap/>
            <w:vAlign w:val="bottom"/>
          </w:tcPr>
          <w:p w14:paraId="4A403D7D" w14:textId="77777777" w:rsidR="00887F65" w:rsidRPr="00031BB9" w:rsidRDefault="00887F65" w:rsidP="00887F65">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356" w:type="dxa"/>
            <w:gridSpan w:val="3"/>
            <w:tcBorders>
              <w:top w:val="nil"/>
              <w:left w:val="nil"/>
              <w:right w:val="nil"/>
            </w:tcBorders>
            <w:shd w:val="clear" w:color="000000" w:fill="FFFFFF"/>
            <w:noWrap/>
            <w:vAlign w:val="bottom"/>
          </w:tcPr>
          <w:p w14:paraId="1D83AF0B" w14:textId="77777777" w:rsidR="00887F65" w:rsidRPr="00031BB9"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r>
      <w:tr w:rsidR="00C95C7E" w:rsidRPr="00031BB9" w14:paraId="6F45854D" w14:textId="77777777" w:rsidTr="00705078">
        <w:trPr>
          <w:gridAfter w:val="1"/>
          <w:wAfter w:w="118" w:type="dxa"/>
          <w:trHeight w:val="284"/>
        </w:trPr>
        <w:tc>
          <w:tcPr>
            <w:tcW w:w="5584" w:type="dxa"/>
            <w:tcBorders>
              <w:top w:val="nil"/>
              <w:left w:val="nil"/>
              <w:bottom w:val="nil"/>
              <w:right w:val="nil"/>
            </w:tcBorders>
            <w:shd w:val="clear" w:color="000000" w:fill="FFFFFF"/>
            <w:noWrap/>
            <w:vAlign w:val="bottom"/>
          </w:tcPr>
          <w:p w14:paraId="7802E4B5" w14:textId="4D07E944" w:rsidR="00C95C7E" w:rsidRPr="00031BB9" w:rsidRDefault="00032F5B"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31BB9">
              <w:rPr>
                <w:rFonts w:eastAsia="Times New Roman" w:cstheme="minorHAnsi"/>
                <w:color w:val="000000"/>
                <w:sz w:val="16"/>
                <w:szCs w:val="16"/>
                <w:lang w:eastAsia="en-GB"/>
              </w:rPr>
              <w:t>Final</w:t>
            </w:r>
          </w:p>
        </w:tc>
        <w:tc>
          <w:tcPr>
            <w:tcW w:w="339" w:type="dxa"/>
            <w:tcBorders>
              <w:top w:val="nil"/>
              <w:left w:val="nil"/>
              <w:bottom w:val="nil"/>
              <w:right w:val="nil"/>
            </w:tcBorders>
            <w:shd w:val="clear" w:color="000000" w:fill="FFFFFF"/>
            <w:noWrap/>
            <w:vAlign w:val="bottom"/>
          </w:tcPr>
          <w:p w14:paraId="220CEF2A" w14:textId="77777777" w:rsidR="00C95C7E" w:rsidRPr="00031BB9" w:rsidRDefault="00C95C7E"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1448" w:type="dxa"/>
            <w:tcBorders>
              <w:top w:val="nil"/>
              <w:left w:val="nil"/>
              <w:right w:val="nil"/>
            </w:tcBorders>
            <w:shd w:val="clear" w:color="000000" w:fill="FFFFFF"/>
            <w:noWrap/>
            <w:vAlign w:val="bottom"/>
          </w:tcPr>
          <w:p w14:paraId="653FD807" w14:textId="77B834B9" w:rsidR="00C95C7E" w:rsidRPr="00031BB9" w:rsidRDefault="00622BAD"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031BB9">
              <w:rPr>
                <w:rFonts w:eastAsia="Times New Roman" w:cstheme="minorHAnsi"/>
                <w:b/>
                <w:color w:val="000000"/>
                <w:sz w:val="16"/>
                <w:szCs w:val="16"/>
                <w:lang w:eastAsia="en-GB"/>
              </w:rPr>
              <w:t>-</w:t>
            </w:r>
          </w:p>
        </w:tc>
        <w:tc>
          <w:tcPr>
            <w:tcW w:w="345" w:type="dxa"/>
            <w:tcBorders>
              <w:top w:val="nil"/>
              <w:left w:val="nil"/>
              <w:right w:val="nil"/>
            </w:tcBorders>
            <w:shd w:val="clear" w:color="000000" w:fill="FFFFFF"/>
            <w:noWrap/>
            <w:vAlign w:val="bottom"/>
          </w:tcPr>
          <w:p w14:paraId="5D4F601B" w14:textId="77777777" w:rsidR="00C95C7E" w:rsidRPr="00031BB9" w:rsidRDefault="00C95C7E" w:rsidP="00887F65">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p>
        </w:tc>
        <w:tc>
          <w:tcPr>
            <w:tcW w:w="1356" w:type="dxa"/>
            <w:gridSpan w:val="3"/>
            <w:tcBorders>
              <w:top w:val="nil"/>
              <w:left w:val="nil"/>
              <w:right w:val="nil"/>
            </w:tcBorders>
            <w:shd w:val="clear" w:color="000000" w:fill="FFFFFF"/>
            <w:noWrap/>
            <w:vAlign w:val="bottom"/>
          </w:tcPr>
          <w:p w14:paraId="4926C44C" w14:textId="68798F23" w:rsidR="00C95C7E" w:rsidRPr="00031BB9" w:rsidRDefault="00BE6A1C"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r w:rsidRPr="00031BB9">
              <w:rPr>
                <w:rFonts w:eastAsia="Times New Roman" w:cstheme="minorHAnsi"/>
                <w:color w:val="000000"/>
                <w:sz w:val="16"/>
                <w:szCs w:val="16"/>
                <w:lang w:eastAsia="en-GB"/>
              </w:rPr>
              <w:t>-</w:t>
            </w:r>
          </w:p>
        </w:tc>
      </w:tr>
      <w:tr w:rsidR="00887F65" w:rsidRPr="00031BB9" w14:paraId="48066944" w14:textId="77777777" w:rsidTr="00705078">
        <w:trPr>
          <w:gridAfter w:val="1"/>
          <w:wAfter w:w="118" w:type="dxa"/>
          <w:trHeight w:val="284"/>
        </w:trPr>
        <w:tc>
          <w:tcPr>
            <w:tcW w:w="5584" w:type="dxa"/>
            <w:tcBorders>
              <w:top w:val="nil"/>
              <w:left w:val="nil"/>
              <w:bottom w:val="nil"/>
              <w:right w:val="nil"/>
            </w:tcBorders>
            <w:shd w:val="clear" w:color="000000" w:fill="FFFFFF"/>
            <w:noWrap/>
            <w:vAlign w:val="bottom"/>
            <w:hideMark/>
          </w:tcPr>
          <w:p w14:paraId="05A43553" w14:textId="38547C52" w:rsidR="00887F65" w:rsidRPr="00031BB9" w:rsidRDefault="00032F5B"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31BB9">
              <w:rPr>
                <w:rFonts w:eastAsia="Times New Roman" w:cstheme="minorHAnsi"/>
                <w:color w:val="000000"/>
                <w:sz w:val="16"/>
                <w:szCs w:val="16"/>
                <w:lang w:eastAsia="en-GB"/>
              </w:rPr>
              <w:t>Interim</w:t>
            </w:r>
          </w:p>
        </w:tc>
        <w:tc>
          <w:tcPr>
            <w:tcW w:w="339" w:type="dxa"/>
            <w:tcBorders>
              <w:top w:val="nil"/>
              <w:left w:val="nil"/>
              <w:bottom w:val="nil"/>
              <w:right w:val="nil"/>
            </w:tcBorders>
            <w:shd w:val="clear" w:color="000000" w:fill="FFFFFF"/>
            <w:noWrap/>
            <w:vAlign w:val="bottom"/>
            <w:hideMark/>
          </w:tcPr>
          <w:p w14:paraId="079E59B1" w14:textId="77777777" w:rsidR="00887F65" w:rsidRPr="00031BB9"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r w:rsidRPr="00031BB9">
              <w:rPr>
                <w:rFonts w:eastAsia="Times New Roman" w:cstheme="minorHAnsi"/>
                <w:color w:val="000000"/>
                <w:sz w:val="16"/>
                <w:szCs w:val="16"/>
                <w:lang w:eastAsia="en-GB"/>
              </w:rPr>
              <w:t> </w:t>
            </w:r>
          </w:p>
        </w:tc>
        <w:tc>
          <w:tcPr>
            <w:tcW w:w="1448" w:type="dxa"/>
            <w:tcBorders>
              <w:left w:val="nil"/>
              <w:bottom w:val="double" w:sz="4" w:space="0" w:color="auto"/>
              <w:right w:val="nil"/>
            </w:tcBorders>
            <w:shd w:val="clear" w:color="000000" w:fill="FFFFFF"/>
            <w:noWrap/>
            <w:vAlign w:val="bottom"/>
            <w:hideMark/>
          </w:tcPr>
          <w:p w14:paraId="60E3990A" w14:textId="434CD801" w:rsidR="00887F65" w:rsidRPr="00031BB9" w:rsidRDefault="00145B37"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031BB9">
              <w:rPr>
                <w:rFonts w:eastAsia="Times New Roman" w:cstheme="minorHAnsi"/>
                <w:b/>
                <w:color w:val="000000"/>
                <w:sz w:val="16"/>
                <w:szCs w:val="16"/>
                <w:lang w:eastAsia="en-GB"/>
              </w:rPr>
              <w:t>-</w:t>
            </w:r>
          </w:p>
        </w:tc>
        <w:tc>
          <w:tcPr>
            <w:tcW w:w="345" w:type="dxa"/>
            <w:tcBorders>
              <w:top w:val="nil"/>
              <w:left w:val="nil"/>
              <w:right w:val="nil"/>
            </w:tcBorders>
            <w:shd w:val="clear" w:color="000000" w:fill="FFFFFF"/>
            <w:noWrap/>
            <w:vAlign w:val="bottom"/>
            <w:hideMark/>
          </w:tcPr>
          <w:p w14:paraId="16730840" w14:textId="77777777" w:rsidR="00887F65" w:rsidRPr="00031BB9" w:rsidRDefault="00887F65" w:rsidP="00887F65">
            <w:pPr>
              <w:keepLines/>
              <w:widowControl w:val="0"/>
              <w:autoSpaceDE w:val="0"/>
              <w:autoSpaceDN w:val="0"/>
              <w:adjustRightInd w:val="0"/>
              <w:spacing w:after="0" w:line="240" w:lineRule="auto"/>
              <w:jc w:val="right"/>
              <w:rPr>
                <w:rFonts w:eastAsia="Times New Roman" w:cstheme="minorHAnsi"/>
                <w:color w:val="FF0000"/>
                <w:sz w:val="16"/>
                <w:szCs w:val="16"/>
                <w:lang w:eastAsia="en-GB"/>
              </w:rPr>
            </w:pPr>
            <w:r w:rsidRPr="00031BB9">
              <w:rPr>
                <w:rFonts w:eastAsia="Times New Roman" w:cstheme="minorHAnsi"/>
                <w:color w:val="FF0000"/>
                <w:sz w:val="16"/>
                <w:szCs w:val="16"/>
                <w:lang w:eastAsia="en-GB"/>
              </w:rPr>
              <w:t> </w:t>
            </w:r>
          </w:p>
        </w:tc>
        <w:tc>
          <w:tcPr>
            <w:tcW w:w="1356" w:type="dxa"/>
            <w:gridSpan w:val="3"/>
            <w:tcBorders>
              <w:left w:val="nil"/>
              <w:bottom w:val="double" w:sz="4" w:space="0" w:color="auto"/>
              <w:right w:val="nil"/>
            </w:tcBorders>
            <w:shd w:val="clear" w:color="000000" w:fill="FFFFFF"/>
            <w:noWrap/>
            <w:vAlign w:val="bottom"/>
            <w:hideMark/>
          </w:tcPr>
          <w:p w14:paraId="56103D24" w14:textId="4BB1B685" w:rsidR="00887F65" w:rsidRPr="00031BB9" w:rsidRDefault="00FC10D6"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r w:rsidRPr="00031BB9">
              <w:rPr>
                <w:rFonts w:eastAsia="Times New Roman" w:cstheme="minorHAnsi"/>
                <w:color w:val="000000"/>
                <w:sz w:val="16"/>
                <w:szCs w:val="16"/>
                <w:lang w:eastAsia="en-GB"/>
              </w:rPr>
              <w:t>-</w:t>
            </w:r>
          </w:p>
        </w:tc>
      </w:tr>
      <w:tr w:rsidR="00C95C7E" w:rsidRPr="00031BB9" w14:paraId="5295C5CC" w14:textId="77777777" w:rsidTr="00705078">
        <w:trPr>
          <w:gridAfter w:val="1"/>
          <w:wAfter w:w="118" w:type="dxa"/>
          <w:trHeight w:val="284"/>
        </w:trPr>
        <w:tc>
          <w:tcPr>
            <w:tcW w:w="5584" w:type="dxa"/>
            <w:tcBorders>
              <w:top w:val="nil"/>
              <w:left w:val="nil"/>
              <w:bottom w:val="nil"/>
              <w:right w:val="nil"/>
            </w:tcBorders>
            <w:shd w:val="clear" w:color="000000" w:fill="FFFFFF"/>
            <w:noWrap/>
            <w:vAlign w:val="bottom"/>
          </w:tcPr>
          <w:p w14:paraId="24293EE2" w14:textId="4356EC13" w:rsidR="00C95C7E" w:rsidRPr="00031BB9" w:rsidRDefault="00C95C7E" w:rsidP="00887F65">
            <w:pPr>
              <w:keepLines/>
              <w:widowControl w:val="0"/>
              <w:autoSpaceDE w:val="0"/>
              <w:autoSpaceDN w:val="0"/>
              <w:adjustRightInd w:val="0"/>
              <w:spacing w:after="0" w:line="240" w:lineRule="auto"/>
              <w:rPr>
                <w:rFonts w:eastAsia="Times New Roman" w:cstheme="minorHAnsi"/>
                <w:b/>
                <w:bCs/>
                <w:color w:val="000000"/>
                <w:sz w:val="16"/>
                <w:szCs w:val="16"/>
                <w:lang w:eastAsia="en-GB"/>
              </w:rPr>
            </w:pPr>
            <w:r w:rsidRPr="00031BB9">
              <w:rPr>
                <w:rFonts w:eastAsia="Times New Roman" w:cstheme="minorHAnsi"/>
                <w:b/>
                <w:bCs/>
                <w:color w:val="000000"/>
                <w:sz w:val="16"/>
                <w:szCs w:val="16"/>
                <w:lang w:eastAsia="en-GB"/>
              </w:rPr>
              <w:t>Total</w:t>
            </w:r>
          </w:p>
        </w:tc>
        <w:tc>
          <w:tcPr>
            <w:tcW w:w="339" w:type="dxa"/>
            <w:tcBorders>
              <w:top w:val="nil"/>
              <w:left w:val="nil"/>
              <w:bottom w:val="nil"/>
              <w:right w:val="nil"/>
            </w:tcBorders>
            <w:shd w:val="clear" w:color="000000" w:fill="FFFFFF"/>
            <w:noWrap/>
            <w:vAlign w:val="bottom"/>
          </w:tcPr>
          <w:p w14:paraId="5D5E1BEC" w14:textId="77777777" w:rsidR="00C95C7E" w:rsidRPr="00031BB9" w:rsidRDefault="00C95C7E" w:rsidP="00887F65">
            <w:pPr>
              <w:keepLines/>
              <w:widowControl w:val="0"/>
              <w:autoSpaceDE w:val="0"/>
              <w:autoSpaceDN w:val="0"/>
              <w:adjustRightInd w:val="0"/>
              <w:spacing w:after="0" w:line="240" w:lineRule="auto"/>
              <w:rPr>
                <w:rFonts w:eastAsia="Times New Roman" w:cstheme="minorHAnsi"/>
                <w:b/>
                <w:bCs/>
                <w:color w:val="000000"/>
                <w:sz w:val="16"/>
                <w:szCs w:val="16"/>
                <w:lang w:eastAsia="en-GB"/>
              </w:rPr>
            </w:pPr>
          </w:p>
        </w:tc>
        <w:tc>
          <w:tcPr>
            <w:tcW w:w="1448" w:type="dxa"/>
            <w:tcBorders>
              <w:top w:val="nil"/>
              <w:left w:val="nil"/>
              <w:bottom w:val="double" w:sz="4" w:space="0" w:color="auto"/>
              <w:right w:val="nil"/>
            </w:tcBorders>
            <w:shd w:val="clear" w:color="000000" w:fill="FFFFFF"/>
            <w:noWrap/>
            <w:vAlign w:val="bottom"/>
          </w:tcPr>
          <w:p w14:paraId="7E6212EF" w14:textId="12BA0E92" w:rsidR="00C95C7E" w:rsidRPr="00031BB9" w:rsidRDefault="00622BAD" w:rsidP="00887F65">
            <w:pPr>
              <w:keepLines/>
              <w:widowControl w:val="0"/>
              <w:autoSpaceDE w:val="0"/>
              <w:autoSpaceDN w:val="0"/>
              <w:adjustRightInd w:val="0"/>
              <w:spacing w:after="0" w:line="240" w:lineRule="auto"/>
              <w:jc w:val="right"/>
              <w:rPr>
                <w:rFonts w:eastAsia="Times New Roman" w:cstheme="minorHAnsi"/>
                <w:b/>
                <w:bCs/>
                <w:color w:val="000000"/>
                <w:sz w:val="16"/>
                <w:szCs w:val="16"/>
                <w:lang w:eastAsia="en-GB"/>
              </w:rPr>
            </w:pPr>
            <w:r w:rsidRPr="00031BB9">
              <w:rPr>
                <w:rFonts w:eastAsia="Times New Roman" w:cstheme="minorHAnsi"/>
                <w:b/>
                <w:bCs/>
                <w:color w:val="000000"/>
                <w:sz w:val="16"/>
                <w:szCs w:val="16"/>
                <w:lang w:eastAsia="en-GB"/>
              </w:rPr>
              <w:t>-</w:t>
            </w:r>
          </w:p>
        </w:tc>
        <w:tc>
          <w:tcPr>
            <w:tcW w:w="345" w:type="dxa"/>
            <w:tcBorders>
              <w:top w:val="nil"/>
              <w:left w:val="nil"/>
              <w:right w:val="nil"/>
            </w:tcBorders>
            <w:shd w:val="clear" w:color="000000" w:fill="FFFFFF"/>
            <w:noWrap/>
            <w:vAlign w:val="bottom"/>
          </w:tcPr>
          <w:p w14:paraId="137D51BD" w14:textId="77777777" w:rsidR="00C95C7E" w:rsidRPr="00031BB9" w:rsidRDefault="00C95C7E" w:rsidP="00887F65">
            <w:pPr>
              <w:keepLines/>
              <w:widowControl w:val="0"/>
              <w:autoSpaceDE w:val="0"/>
              <w:autoSpaceDN w:val="0"/>
              <w:adjustRightInd w:val="0"/>
              <w:spacing w:after="0" w:line="240" w:lineRule="auto"/>
              <w:jc w:val="right"/>
              <w:rPr>
                <w:rFonts w:eastAsia="Times New Roman" w:cstheme="minorHAnsi"/>
                <w:b/>
                <w:bCs/>
                <w:color w:val="FF0000"/>
                <w:sz w:val="16"/>
                <w:szCs w:val="16"/>
                <w:lang w:eastAsia="en-GB"/>
              </w:rPr>
            </w:pPr>
          </w:p>
        </w:tc>
        <w:tc>
          <w:tcPr>
            <w:tcW w:w="1356" w:type="dxa"/>
            <w:gridSpan w:val="3"/>
            <w:tcBorders>
              <w:top w:val="nil"/>
              <w:left w:val="nil"/>
              <w:bottom w:val="double" w:sz="4" w:space="0" w:color="auto"/>
              <w:right w:val="nil"/>
            </w:tcBorders>
            <w:shd w:val="clear" w:color="000000" w:fill="FFFFFF"/>
            <w:noWrap/>
            <w:vAlign w:val="bottom"/>
          </w:tcPr>
          <w:p w14:paraId="49B57D53" w14:textId="5104C1F5" w:rsidR="00C95C7E" w:rsidRPr="00031BB9" w:rsidRDefault="00031BB9" w:rsidP="00887F65">
            <w:pPr>
              <w:keepLines/>
              <w:widowControl w:val="0"/>
              <w:autoSpaceDE w:val="0"/>
              <w:autoSpaceDN w:val="0"/>
              <w:adjustRightInd w:val="0"/>
              <w:spacing w:after="0" w:line="240" w:lineRule="auto"/>
              <w:jc w:val="right"/>
              <w:rPr>
                <w:rFonts w:eastAsia="Times New Roman" w:cstheme="minorHAnsi"/>
                <w:b/>
                <w:bCs/>
                <w:color w:val="000000"/>
                <w:sz w:val="16"/>
                <w:szCs w:val="16"/>
                <w:lang w:eastAsia="en-GB"/>
              </w:rPr>
            </w:pPr>
            <w:r w:rsidRPr="00031BB9">
              <w:rPr>
                <w:rFonts w:eastAsia="Times New Roman" w:cstheme="minorHAnsi"/>
                <w:b/>
                <w:bCs/>
                <w:color w:val="000000"/>
                <w:sz w:val="16"/>
                <w:szCs w:val="16"/>
                <w:lang w:eastAsia="en-GB"/>
              </w:rPr>
              <w:t>-</w:t>
            </w:r>
          </w:p>
        </w:tc>
      </w:tr>
      <w:tr w:rsidR="00887F65" w:rsidRPr="00031BB9" w14:paraId="738DD758" w14:textId="77777777" w:rsidTr="00705078">
        <w:tblPrEx>
          <w:tblCellMar>
            <w:left w:w="7" w:type="dxa"/>
            <w:right w:w="7" w:type="dxa"/>
          </w:tblCellMar>
          <w:tblLook w:val="0000" w:firstRow="0" w:lastRow="0" w:firstColumn="0" w:lastColumn="0" w:noHBand="0" w:noVBand="0"/>
        </w:tblPrEx>
        <w:trPr>
          <w:gridBefore w:val="3"/>
          <w:wBefore w:w="7371" w:type="dxa"/>
        </w:trPr>
        <w:tc>
          <w:tcPr>
            <w:tcW w:w="504" w:type="dxa"/>
            <w:gridSpan w:val="2"/>
            <w:tcBorders>
              <w:left w:val="nil"/>
              <w:bottom w:val="nil"/>
              <w:right w:val="nil"/>
            </w:tcBorders>
          </w:tcPr>
          <w:p w14:paraId="390131B7" w14:textId="77777777" w:rsidR="00887F65" w:rsidRPr="00031BB9" w:rsidRDefault="00887F65" w:rsidP="00887F65">
            <w:pPr>
              <w:widowControl w:val="0"/>
              <w:autoSpaceDE w:val="0"/>
              <w:autoSpaceDN w:val="0"/>
              <w:adjustRightInd w:val="0"/>
              <w:spacing w:after="0" w:line="240" w:lineRule="auto"/>
              <w:rPr>
                <w:rFonts w:eastAsia="Times New Roman" w:cstheme="minorHAnsi"/>
                <w:b/>
                <w:bCs/>
                <w:color w:val="000000"/>
                <w:sz w:val="16"/>
                <w:szCs w:val="16"/>
                <w:lang w:eastAsia="en-GB"/>
              </w:rPr>
            </w:pPr>
          </w:p>
        </w:tc>
        <w:tc>
          <w:tcPr>
            <w:tcW w:w="819" w:type="dxa"/>
            <w:tcBorders>
              <w:left w:val="nil"/>
              <w:bottom w:val="nil"/>
              <w:right w:val="nil"/>
            </w:tcBorders>
          </w:tcPr>
          <w:p w14:paraId="7DDD156A" w14:textId="77777777" w:rsidR="00887F65" w:rsidRPr="00031BB9" w:rsidRDefault="00887F65" w:rsidP="00887F65">
            <w:pPr>
              <w:widowControl w:val="0"/>
              <w:autoSpaceDE w:val="0"/>
              <w:autoSpaceDN w:val="0"/>
              <w:adjustRightInd w:val="0"/>
              <w:spacing w:after="0" w:line="240" w:lineRule="auto"/>
              <w:rPr>
                <w:rFonts w:eastAsia="Times New Roman" w:cstheme="minorHAnsi"/>
                <w:color w:val="000000"/>
                <w:sz w:val="16"/>
                <w:szCs w:val="16"/>
                <w:lang w:eastAsia="en-GB"/>
              </w:rPr>
            </w:pPr>
          </w:p>
        </w:tc>
        <w:tc>
          <w:tcPr>
            <w:tcW w:w="496" w:type="dxa"/>
            <w:gridSpan w:val="2"/>
            <w:tcBorders>
              <w:left w:val="nil"/>
              <w:bottom w:val="nil"/>
              <w:right w:val="nil"/>
            </w:tcBorders>
          </w:tcPr>
          <w:p w14:paraId="258B7ED7" w14:textId="77777777" w:rsidR="00887F65" w:rsidRPr="00031BB9" w:rsidRDefault="00887F65" w:rsidP="00887F65">
            <w:pPr>
              <w:widowControl w:val="0"/>
              <w:autoSpaceDE w:val="0"/>
              <w:autoSpaceDN w:val="0"/>
              <w:adjustRightInd w:val="0"/>
              <w:spacing w:after="0" w:line="240" w:lineRule="auto"/>
              <w:rPr>
                <w:rFonts w:eastAsia="Times New Roman" w:cstheme="minorHAnsi"/>
                <w:color w:val="000000"/>
                <w:sz w:val="16"/>
                <w:szCs w:val="16"/>
                <w:lang w:eastAsia="en-GB"/>
              </w:rPr>
            </w:pPr>
          </w:p>
        </w:tc>
      </w:tr>
    </w:tbl>
    <w:p w14:paraId="1E99F305" w14:textId="387EA791" w:rsidR="00622BAD" w:rsidRPr="00D47013" w:rsidRDefault="00622BAD" w:rsidP="00622BAD">
      <w:pPr>
        <w:autoSpaceDE w:val="0"/>
        <w:autoSpaceDN w:val="0"/>
        <w:adjustRightInd w:val="0"/>
        <w:spacing w:after="0" w:line="240" w:lineRule="auto"/>
        <w:jc w:val="both"/>
        <w:rPr>
          <w:rFonts w:eastAsia="Times New Roman" w:cstheme="minorHAnsi"/>
          <w:color w:val="000000"/>
          <w:highlight w:val="yellow"/>
          <w:lang w:eastAsia="en-GB"/>
        </w:rPr>
      </w:pPr>
      <w:r w:rsidRPr="00031BB9">
        <w:rPr>
          <w:rFonts w:eastAsia="Times New Roman" w:cstheme="minorHAnsi"/>
          <w:color w:val="000000"/>
          <w:lang w:eastAsia="en-GB"/>
        </w:rPr>
        <w:t xml:space="preserve">The </w:t>
      </w:r>
      <w:r w:rsidR="003C33DA">
        <w:rPr>
          <w:rFonts w:eastAsia="Times New Roman" w:cstheme="minorHAnsi"/>
          <w:color w:val="000000"/>
          <w:lang w:eastAsia="en-GB"/>
        </w:rPr>
        <w:t>Directors do not propose a final dividend relating to this financial period (202</w:t>
      </w:r>
      <w:r w:rsidR="00705078">
        <w:rPr>
          <w:rFonts w:eastAsia="Times New Roman" w:cstheme="minorHAnsi"/>
          <w:color w:val="000000"/>
          <w:lang w:eastAsia="en-GB"/>
        </w:rPr>
        <w:t>2</w:t>
      </w:r>
      <w:r w:rsidR="003C33DA">
        <w:rPr>
          <w:rFonts w:eastAsia="Times New Roman" w:cstheme="minorHAnsi"/>
          <w:color w:val="000000"/>
          <w:lang w:eastAsia="en-GB"/>
        </w:rPr>
        <w:t>: 0.0p per share). Future dividends will be kept under review.</w:t>
      </w:r>
    </w:p>
    <w:p w14:paraId="71776C61" w14:textId="6A0FB39F" w:rsidR="00887F65" w:rsidRPr="00D47013" w:rsidRDefault="00887F65" w:rsidP="006768B2">
      <w:pPr>
        <w:widowControl w:val="0"/>
        <w:tabs>
          <w:tab w:val="left" w:pos="941"/>
        </w:tabs>
        <w:autoSpaceDE w:val="0"/>
        <w:autoSpaceDN w:val="0"/>
        <w:adjustRightInd w:val="0"/>
        <w:spacing w:after="0" w:line="240" w:lineRule="auto"/>
        <w:ind w:right="941"/>
        <w:rPr>
          <w:rFonts w:eastAsia="Times New Roman" w:cstheme="minorHAnsi"/>
          <w:color w:val="000000"/>
          <w:highlight w:val="yellow"/>
          <w:lang w:eastAsia="en-GB"/>
        </w:rPr>
      </w:pPr>
    </w:p>
    <w:p w14:paraId="55ABE4FA" w14:textId="77777777" w:rsidR="006768B2" w:rsidRPr="002A394A" w:rsidRDefault="006768B2" w:rsidP="00C95C7E">
      <w:pPr>
        <w:widowControl w:val="0"/>
        <w:tabs>
          <w:tab w:val="left" w:pos="941"/>
        </w:tabs>
        <w:autoSpaceDE w:val="0"/>
        <w:autoSpaceDN w:val="0"/>
        <w:adjustRightInd w:val="0"/>
        <w:spacing w:after="0" w:line="240" w:lineRule="auto"/>
        <w:ind w:right="941"/>
        <w:rPr>
          <w:rFonts w:eastAsia="Times New Roman" w:cstheme="minorHAnsi"/>
          <w:color w:val="000000"/>
          <w:lang w:eastAsia="en-GB"/>
        </w:rPr>
      </w:pPr>
    </w:p>
    <w:p w14:paraId="0D85B0C4" w14:textId="4AC081B4" w:rsidR="00887F65" w:rsidRPr="002A394A" w:rsidRDefault="00887F65" w:rsidP="00C95C7E">
      <w:pPr>
        <w:pStyle w:val="ListParagraph"/>
        <w:widowControl w:val="0"/>
        <w:numPr>
          <w:ilvl w:val="0"/>
          <w:numId w:val="25"/>
        </w:numPr>
        <w:tabs>
          <w:tab w:val="left" w:pos="426"/>
          <w:tab w:val="left" w:pos="1542"/>
        </w:tabs>
        <w:autoSpaceDE w:val="0"/>
        <w:autoSpaceDN w:val="0"/>
        <w:adjustRightInd w:val="0"/>
        <w:spacing w:after="0" w:line="240" w:lineRule="auto"/>
        <w:ind w:left="0" w:right="941" w:firstLine="0"/>
        <w:rPr>
          <w:rFonts w:eastAsia="Times New Roman" w:cstheme="minorHAnsi"/>
          <w:b/>
          <w:bCs/>
          <w:color w:val="000000"/>
          <w:lang w:eastAsia="en-GB"/>
        </w:rPr>
      </w:pPr>
      <w:r w:rsidRPr="002A394A">
        <w:rPr>
          <w:rFonts w:eastAsia="Times New Roman" w:cstheme="minorHAnsi"/>
          <w:b/>
          <w:bCs/>
          <w:color w:val="000000"/>
          <w:lang w:eastAsia="en-GB"/>
        </w:rPr>
        <w:lastRenderedPageBreak/>
        <w:t>EARNINGS PER SHARE</w:t>
      </w:r>
    </w:p>
    <w:p w14:paraId="5CDAF57D" w14:textId="77777777" w:rsidR="00887F65" w:rsidRPr="002A394A" w:rsidRDefault="00887F65" w:rsidP="00887F65">
      <w:pPr>
        <w:widowControl w:val="0"/>
        <w:tabs>
          <w:tab w:val="left" w:pos="941"/>
        </w:tabs>
        <w:autoSpaceDE w:val="0"/>
        <w:autoSpaceDN w:val="0"/>
        <w:adjustRightInd w:val="0"/>
        <w:spacing w:after="0" w:line="240" w:lineRule="auto"/>
        <w:ind w:left="941" w:right="941"/>
        <w:rPr>
          <w:rFonts w:eastAsia="Times New Roman" w:cstheme="minorHAnsi"/>
          <w:color w:val="000000"/>
          <w:lang w:eastAsia="en-GB"/>
        </w:rPr>
      </w:pPr>
    </w:p>
    <w:p w14:paraId="5708B5A5" w14:textId="77777777" w:rsidR="00887F65" w:rsidRDefault="00887F65" w:rsidP="00C95C7E">
      <w:pPr>
        <w:widowControl w:val="0"/>
        <w:tabs>
          <w:tab w:val="left" w:pos="0"/>
        </w:tabs>
        <w:autoSpaceDE w:val="0"/>
        <w:autoSpaceDN w:val="0"/>
        <w:adjustRightInd w:val="0"/>
        <w:spacing w:after="0" w:line="240" w:lineRule="auto"/>
        <w:ind w:right="95"/>
        <w:jc w:val="both"/>
        <w:rPr>
          <w:rFonts w:eastAsia="Times New Roman" w:cstheme="minorHAnsi"/>
          <w:color w:val="000000"/>
          <w:lang w:eastAsia="en-GB"/>
        </w:rPr>
      </w:pPr>
      <w:r w:rsidRPr="002A394A">
        <w:rPr>
          <w:rFonts w:eastAsia="Times New Roman" w:cstheme="minorHAnsi"/>
          <w:color w:val="000000"/>
          <w:lang w:eastAsia="en-GB"/>
        </w:rPr>
        <w:t xml:space="preserve">Earnings per share is calculated by dividing the earnings attributable to ordinary shareholders by the weighted average number of ordinary shares in issue during the year. For diluted earnings per share, the weighted average number of shares is adjusted to assume conversion of all dilutive potential ordinary shares. </w:t>
      </w:r>
    </w:p>
    <w:p w14:paraId="4A714972" w14:textId="77777777" w:rsidR="00CD3539" w:rsidRDefault="00CD3539" w:rsidP="00C95C7E">
      <w:pPr>
        <w:widowControl w:val="0"/>
        <w:tabs>
          <w:tab w:val="left" w:pos="0"/>
        </w:tabs>
        <w:autoSpaceDE w:val="0"/>
        <w:autoSpaceDN w:val="0"/>
        <w:adjustRightInd w:val="0"/>
        <w:spacing w:after="0" w:line="240" w:lineRule="auto"/>
        <w:ind w:right="95"/>
        <w:jc w:val="both"/>
        <w:rPr>
          <w:rFonts w:eastAsia="Times New Roman" w:cstheme="minorHAnsi"/>
          <w:color w:val="000000"/>
          <w:lang w:eastAsia="en-GB"/>
        </w:rPr>
      </w:pPr>
    </w:p>
    <w:p w14:paraId="7361921E" w14:textId="711FDF8E" w:rsidR="00CD3539" w:rsidRPr="002A394A" w:rsidRDefault="00CD3539" w:rsidP="00C95C7E">
      <w:pPr>
        <w:widowControl w:val="0"/>
        <w:tabs>
          <w:tab w:val="left" w:pos="0"/>
        </w:tabs>
        <w:autoSpaceDE w:val="0"/>
        <w:autoSpaceDN w:val="0"/>
        <w:adjustRightInd w:val="0"/>
        <w:spacing w:after="0" w:line="240" w:lineRule="auto"/>
        <w:ind w:right="95"/>
        <w:jc w:val="both"/>
        <w:rPr>
          <w:rFonts w:eastAsia="Times New Roman" w:cstheme="minorHAnsi"/>
          <w:color w:val="000000"/>
          <w:lang w:eastAsia="en-GB"/>
        </w:rPr>
      </w:pPr>
      <w:r>
        <w:rPr>
          <w:rFonts w:eastAsia="Times New Roman" w:cstheme="minorHAnsi"/>
          <w:color w:val="000000"/>
          <w:lang w:eastAsia="en-GB"/>
        </w:rPr>
        <w:t xml:space="preserve">There are no dilutive items impacting </w:t>
      </w:r>
      <w:r w:rsidR="00083DED">
        <w:rPr>
          <w:rFonts w:eastAsia="Times New Roman" w:cstheme="minorHAnsi"/>
          <w:color w:val="000000"/>
          <w:lang w:eastAsia="en-GB"/>
        </w:rPr>
        <w:t>the Group and, as such, the Basic EPS and Diluted EPS are identical. Any share options that are vested are fully expected to be met from the Group’s Employee Benefit Trust</w:t>
      </w:r>
      <w:r w:rsidR="006063D8">
        <w:rPr>
          <w:rFonts w:eastAsia="Times New Roman" w:cstheme="minorHAnsi"/>
          <w:color w:val="000000"/>
          <w:lang w:eastAsia="en-GB"/>
        </w:rPr>
        <w:t xml:space="preserve">. Therefore, issuance of new shares is not expected to be required and as a result, there is no associated dilution. </w:t>
      </w:r>
    </w:p>
    <w:p w14:paraId="24BB9BEA" w14:textId="77777777" w:rsidR="006768B2" w:rsidRPr="002A394A" w:rsidRDefault="006768B2" w:rsidP="00CA706F">
      <w:pPr>
        <w:widowControl w:val="0"/>
        <w:tabs>
          <w:tab w:val="left" w:pos="1543"/>
        </w:tabs>
        <w:autoSpaceDE w:val="0"/>
        <w:autoSpaceDN w:val="0"/>
        <w:adjustRightInd w:val="0"/>
        <w:spacing w:after="0" w:line="240" w:lineRule="auto"/>
        <w:ind w:right="941"/>
        <w:jc w:val="both"/>
        <w:rPr>
          <w:rFonts w:eastAsia="Times New Roman" w:cstheme="minorHAnsi"/>
          <w:color w:val="000000"/>
          <w:lang w:eastAsia="en-GB"/>
        </w:rPr>
      </w:pPr>
    </w:p>
    <w:p w14:paraId="7B616FCE" w14:textId="467EC864" w:rsidR="00887F65" w:rsidRPr="002A394A" w:rsidRDefault="00887F65" w:rsidP="006768B2">
      <w:pPr>
        <w:widowControl w:val="0"/>
        <w:tabs>
          <w:tab w:val="left" w:pos="0"/>
        </w:tabs>
        <w:autoSpaceDE w:val="0"/>
        <w:autoSpaceDN w:val="0"/>
        <w:adjustRightInd w:val="0"/>
        <w:spacing w:after="0" w:line="240" w:lineRule="auto"/>
        <w:ind w:right="941"/>
        <w:jc w:val="both"/>
        <w:rPr>
          <w:rFonts w:eastAsia="Times New Roman" w:cstheme="minorHAnsi"/>
          <w:b/>
          <w:color w:val="000000"/>
          <w:sz w:val="16"/>
          <w:szCs w:val="16"/>
          <w:lang w:eastAsia="en-GB"/>
        </w:rPr>
      </w:pPr>
      <w:r w:rsidRPr="002A394A">
        <w:rPr>
          <w:rFonts w:eastAsia="Times New Roman" w:cstheme="minorHAnsi"/>
          <w:b/>
          <w:color w:val="000000"/>
          <w:sz w:val="16"/>
          <w:szCs w:val="16"/>
          <w:lang w:eastAsia="en-GB"/>
        </w:rPr>
        <w:t>20</w:t>
      </w:r>
      <w:r w:rsidR="004E34FA" w:rsidRPr="002A394A">
        <w:rPr>
          <w:rFonts w:eastAsia="Times New Roman" w:cstheme="minorHAnsi"/>
          <w:b/>
          <w:color w:val="000000"/>
          <w:sz w:val="16"/>
          <w:szCs w:val="16"/>
          <w:lang w:eastAsia="en-GB"/>
        </w:rPr>
        <w:t>2</w:t>
      </w:r>
      <w:r w:rsidR="006063D8">
        <w:rPr>
          <w:rFonts w:eastAsia="Times New Roman" w:cstheme="minorHAnsi"/>
          <w:b/>
          <w:color w:val="000000"/>
          <w:sz w:val="16"/>
          <w:szCs w:val="16"/>
          <w:lang w:eastAsia="en-GB"/>
        </w:rPr>
        <w:t>3</w:t>
      </w:r>
    </w:p>
    <w:tbl>
      <w:tblPr>
        <w:tblW w:w="9199" w:type="dxa"/>
        <w:tblLook w:val="04A0" w:firstRow="1" w:lastRow="0" w:firstColumn="1" w:lastColumn="0" w:noHBand="0" w:noVBand="1"/>
      </w:tblPr>
      <w:tblGrid>
        <w:gridCol w:w="1385"/>
        <w:gridCol w:w="960"/>
        <w:gridCol w:w="1766"/>
        <w:gridCol w:w="1559"/>
        <w:gridCol w:w="284"/>
        <w:gridCol w:w="1505"/>
        <w:gridCol w:w="338"/>
        <w:gridCol w:w="1402"/>
      </w:tblGrid>
      <w:tr w:rsidR="00887F65" w:rsidRPr="002A394A" w14:paraId="7BD5276C" w14:textId="77777777" w:rsidTr="00AA34CB">
        <w:trPr>
          <w:trHeight w:val="288"/>
        </w:trPr>
        <w:tc>
          <w:tcPr>
            <w:tcW w:w="1385" w:type="dxa"/>
            <w:tcBorders>
              <w:top w:val="nil"/>
              <w:left w:val="nil"/>
              <w:bottom w:val="nil"/>
              <w:right w:val="nil"/>
            </w:tcBorders>
            <w:shd w:val="clear" w:color="auto" w:fill="auto"/>
            <w:noWrap/>
            <w:vAlign w:val="bottom"/>
            <w:hideMark/>
          </w:tcPr>
          <w:p w14:paraId="640B388E"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D859035" w14:textId="77777777" w:rsidR="00887F65" w:rsidRPr="002A394A" w:rsidRDefault="00887F65" w:rsidP="00887F65">
            <w:pPr>
              <w:keepLines/>
              <w:widowControl w:val="0"/>
              <w:autoSpaceDE w:val="0"/>
              <w:autoSpaceDN w:val="0"/>
              <w:adjustRightInd w:val="0"/>
              <w:spacing w:after="0" w:line="240" w:lineRule="auto"/>
              <w:jc w:val="both"/>
              <w:rPr>
                <w:rFonts w:eastAsia="Times New Roman" w:cstheme="minorHAnsi"/>
                <w:b/>
                <w:color w:val="000000"/>
                <w:sz w:val="16"/>
                <w:szCs w:val="16"/>
                <w:lang w:eastAsia="en-GB"/>
              </w:rPr>
            </w:pPr>
          </w:p>
        </w:tc>
        <w:tc>
          <w:tcPr>
            <w:tcW w:w="1766" w:type="dxa"/>
            <w:tcBorders>
              <w:top w:val="nil"/>
              <w:left w:val="nil"/>
              <w:bottom w:val="nil"/>
              <w:right w:val="nil"/>
            </w:tcBorders>
            <w:shd w:val="clear" w:color="auto" w:fill="auto"/>
            <w:noWrap/>
            <w:vAlign w:val="bottom"/>
            <w:hideMark/>
          </w:tcPr>
          <w:p w14:paraId="27F9F4F5"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b/>
                <w:color w:val="000000"/>
                <w:sz w:val="16"/>
                <w:szCs w:val="16"/>
                <w:lang w:eastAsia="en-GB"/>
              </w:rPr>
            </w:pPr>
          </w:p>
        </w:tc>
        <w:tc>
          <w:tcPr>
            <w:tcW w:w="1559" w:type="dxa"/>
            <w:tcBorders>
              <w:top w:val="nil"/>
              <w:left w:val="nil"/>
              <w:bottom w:val="nil"/>
              <w:right w:val="nil"/>
            </w:tcBorders>
            <w:shd w:val="clear" w:color="auto" w:fill="auto"/>
            <w:noWrap/>
            <w:vAlign w:val="bottom"/>
            <w:hideMark/>
          </w:tcPr>
          <w:p w14:paraId="3B371B38"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2A394A">
              <w:rPr>
                <w:rFonts w:eastAsia="Times New Roman" w:cstheme="minorHAnsi"/>
                <w:b/>
                <w:color w:val="000000"/>
                <w:sz w:val="16"/>
                <w:szCs w:val="16"/>
                <w:lang w:eastAsia="en-GB"/>
              </w:rPr>
              <w:t>Earnings</w:t>
            </w:r>
          </w:p>
          <w:p w14:paraId="4C1C005F"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2A394A">
              <w:rPr>
                <w:rFonts w:eastAsia="Times New Roman" w:cstheme="minorHAnsi"/>
                <w:b/>
                <w:color w:val="000000"/>
                <w:sz w:val="16"/>
                <w:szCs w:val="16"/>
                <w:lang w:eastAsia="en-GB"/>
              </w:rPr>
              <w:t>£’000</w:t>
            </w:r>
          </w:p>
        </w:tc>
        <w:tc>
          <w:tcPr>
            <w:tcW w:w="284" w:type="dxa"/>
            <w:tcBorders>
              <w:top w:val="nil"/>
              <w:left w:val="nil"/>
              <w:bottom w:val="nil"/>
              <w:right w:val="nil"/>
            </w:tcBorders>
            <w:shd w:val="clear" w:color="auto" w:fill="auto"/>
            <w:noWrap/>
            <w:vAlign w:val="bottom"/>
            <w:hideMark/>
          </w:tcPr>
          <w:p w14:paraId="69470BDC"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1505" w:type="dxa"/>
            <w:tcBorders>
              <w:top w:val="nil"/>
              <w:left w:val="nil"/>
              <w:bottom w:val="nil"/>
              <w:right w:val="nil"/>
            </w:tcBorders>
            <w:shd w:val="clear" w:color="auto" w:fill="auto"/>
            <w:noWrap/>
            <w:vAlign w:val="bottom"/>
            <w:hideMark/>
          </w:tcPr>
          <w:p w14:paraId="659EDE79"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2A394A">
              <w:rPr>
                <w:rFonts w:eastAsia="Times New Roman" w:cstheme="minorHAnsi"/>
                <w:b/>
                <w:color w:val="000000"/>
                <w:sz w:val="16"/>
                <w:szCs w:val="16"/>
                <w:lang w:eastAsia="en-GB"/>
              </w:rPr>
              <w:t>Weighted average number of shares</w:t>
            </w:r>
          </w:p>
        </w:tc>
        <w:tc>
          <w:tcPr>
            <w:tcW w:w="338" w:type="dxa"/>
            <w:tcBorders>
              <w:top w:val="nil"/>
              <w:left w:val="nil"/>
              <w:bottom w:val="nil"/>
              <w:right w:val="nil"/>
            </w:tcBorders>
            <w:shd w:val="clear" w:color="auto" w:fill="auto"/>
            <w:noWrap/>
            <w:vAlign w:val="bottom"/>
            <w:hideMark/>
          </w:tcPr>
          <w:p w14:paraId="1AC9A2D9"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1402" w:type="dxa"/>
            <w:tcBorders>
              <w:top w:val="nil"/>
              <w:left w:val="nil"/>
              <w:bottom w:val="nil"/>
              <w:right w:val="nil"/>
            </w:tcBorders>
            <w:shd w:val="clear" w:color="auto" w:fill="auto"/>
            <w:noWrap/>
            <w:vAlign w:val="bottom"/>
            <w:hideMark/>
          </w:tcPr>
          <w:p w14:paraId="44791EF9"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2A394A">
              <w:rPr>
                <w:rFonts w:eastAsia="Times New Roman" w:cstheme="minorHAnsi"/>
                <w:b/>
                <w:color w:val="000000"/>
                <w:sz w:val="16"/>
                <w:szCs w:val="16"/>
                <w:lang w:eastAsia="en-GB"/>
              </w:rPr>
              <w:t>Per-share amount</w:t>
            </w:r>
          </w:p>
          <w:p w14:paraId="75A5FC83"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2A394A">
              <w:rPr>
                <w:rFonts w:eastAsia="Times New Roman" w:cstheme="minorHAnsi"/>
                <w:b/>
                <w:color w:val="000000"/>
                <w:sz w:val="16"/>
                <w:szCs w:val="16"/>
                <w:lang w:eastAsia="en-GB"/>
              </w:rPr>
              <w:t>pence</w:t>
            </w:r>
          </w:p>
        </w:tc>
      </w:tr>
      <w:tr w:rsidR="00887F65" w:rsidRPr="002A394A" w14:paraId="5FFA52B8" w14:textId="77777777" w:rsidTr="00AA34CB">
        <w:trPr>
          <w:trHeight w:val="288"/>
        </w:trPr>
        <w:tc>
          <w:tcPr>
            <w:tcW w:w="1385" w:type="dxa"/>
            <w:tcBorders>
              <w:top w:val="nil"/>
              <w:left w:val="nil"/>
              <w:bottom w:val="nil"/>
              <w:right w:val="nil"/>
            </w:tcBorders>
            <w:shd w:val="clear" w:color="auto" w:fill="auto"/>
            <w:noWrap/>
            <w:vAlign w:val="bottom"/>
            <w:hideMark/>
          </w:tcPr>
          <w:p w14:paraId="3B564190"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71DF75E"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1766" w:type="dxa"/>
            <w:tcBorders>
              <w:top w:val="nil"/>
              <w:left w:val="nil"/>
              <w:bottom w:val="nil"/>
              <w:right w:val="nil"/>
            </w:tcBorders>
            <w:shd w:val="clear" w:color="auto" w:fill="auto"/>
            <w:noWrap/>
            <w:vAlign w:val="bottom"/>
            <w:hideMark/>
          </w:tcPr>
          <w:p w14:paraId="53A7CAFB"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1559" w:type="dxa"/>
            <w:tcBorders>
              <w:top w:val="nil"/>
              <w:left w:val="nil"/>
              <w:bottom w:val="nil"/>
              <w:right w:val="nil"/>
            </w:tcBorders>
            <w:shd w:val="clear" w:color="auto" w:fill="auto"/>
            <w:noWrap/>
            <w:vAlign w:val="bottom"/>
            <w:hideMark/>
          </w:tcPr>
          <w:p w14:paraId="6722E682"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84" w:type="dxa"/>
            <w:tcBorders>
              <w:top w:val="nil"/>
              <w:left w:val="nil"/>
              <w:bottom w:val="nil"/>
              <w:right w:val="nil"/>
            </w:tcBorders>
            <w:shd w:val="clear" w:color="auto" w:fill="auto"/>
            <w:noWrap/>
            <w:vAlign w:val="bottom"/>
            <w:hideMark/>
          </w:tcPr>
          <w:p w14:paraId="40F1F593"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1505" w:type="dxa"/>
            <w:tcBorders>
              <w:top w:val="nil"/>
              <w:left w:val="nil"/>
              <w:bottom w:val="nil"/>
              <w:right w:val="nil"/>
            </w:tcBorders>
            <w:shd w:val="clear" w:color="auto" w:fill="auto"/>
            <w:noWrap/>
            <w:vAlign w:val="bottom"/>
            <w:hideMark/>
          </w:tcPr>
          <w:p w14:paraId="1D66D4E8"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338" w:type="dxa"/>
            <w:tcBorders>
              <w:top w:val="nil"/>
              <w:left w:val="nil"/>
              <w:bottom w:val="nil"/>
              <w:right w:val="nil"/>
            </w:tcBorders>
            <w:shd w:val="clear" w:color="auto" w:fill="auto"/>
            <w:noWrap/>
            <w:vAlign w:val="bottom"/>
            <w:hideMark/>
          </w:tcPr>
          <w:p w14:paraId="0D028D38"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1402" w:type="dxa"/>
            <w:tcBorders>
              <w:top w:val="nil"/>
              <w:left w:val="nil"/>
              <w:bottom w:val="nil"/>
              <w:right w:val="nil"/>
            </w:tcBorders>
            <w:shd w:val="clear" w:color="auto" w:fill="auto"/>
            <w:noWrap/>
            <w:vAlign w:val="bottom"/>
            <w:hideMark/>
          </w:tcPr>
          <w:p w14:paraId="35F05504"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r>
      <w:tr w:rsidR="00887F65" w:rsidRPr="002A394A" w14:paraId="2DB9983B" w14:textId="77777777" w:rsidTr="00AA34CB">
        <w:trPr>
          <w:trHeight w:val="288"/>
        </w:trPr>
        <w:tc>
          <w:tcPr>
            <w:tcW w:w="1385" w:type="dxa"/>
            <w:tcBorders>
              <w:top w:val="nil"/>
              <w:left w:val="nil"/>
              <w:bottom w:val="nil"/>
              <w:right w:val="nil"/>
            </w:tcBorders>
            <w:shd w:val="clear" w:color="auto" w:fill="auto"/>
            <w:noWrap/>
            <w:vAlign w:val="bottom"/>
            <w:hideMark/>
          </w:tcPr>
          <w:p w14:paraId="214435A3"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b/>
                <w:color w:val="000000"/>
                <w:sz w:val="16"/>
                <w:szCs w:val="16"/>
                <w:lang w:eastAsia="en-GB"/>
              </w:rPr>
            </w:pPr>
            <w:bookmarkStart w:id="0" w:name="_Hlk492543054"/>
            <w:r w:rsidRPr="002A394A">
              <w:rPr>
                <w:rFonts w:eastAsia="Times New Roman" w:cstheme="minorHAnsi"/>
                <w:b/>
                <w:color w:val="000000"/>
                <w:sz w:val="16"/>
                <w:szCs w:val="16"/>
                <w:lang w:eastAsia="en-GB"/>
              </w:rPr>
              <w:t>Basic EPS</w:t>
            </w:r>
          </w:p>
        </w:tc>
        <w:tc>
          <w:tcPr>
            <w:tcW w:w="960" w:type="dxa"/>
            <w:tcBorders>
              <w:top w:val="nil"/>
              <w:left w:val="nil"/>
              <w:bottom w:val="nil"/>
              <w:right w:val="nil"/>
            </w:tcBorders>
            <w:shd w:val="clear" w:color="auto" w:fill="auto"/>
            <w:noWrap/>
            <w:vAlign w:val="bottom"/>
            <w:hideMark/>
          </w:tcPr>
          <w:p w14:paraId="50CA6B0E"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b/>
                <w:color w:val="000000"/>
                <w:sz w:val="16"/>
                <w:szCs w:val="16"/>
                <w:lang w:eastAsia="en-GB"/>
              </w:rPr>
            </w:pPr>
          </w:p>
        </w:tc>
        <w:tc>
          <w:tcPr>
            <w:tcW w:w="1766" w:type="dxa"/>
            <w:tcBorders>
              <w:top w:val="nil"/>
              <w:left w:val="nil"/>
              <w:bottom w:val="nil"/>
              <w:right w:val="nil"/>
            </w:tcBorders>
            <w:shd w:val="clear" w:color="auto" w:fill="auto"/>
            <w:noWrap/>
            <w:vAlign w:val="bottom"/>
            <w:hideMark/>
          </w:tcPr>
          <w:p w14:paraId="0079E4D0"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1559" w:type="dxa"/>
            <w:tcBorders>
              <w:top w:val="nil"/>
              <w:left w:val="nil"/>
              <w:bottom w:val="nil"/>
              <w:right w:val="nil"/>
            </w:tcBorders>
            <w:shd w:val="clear" w:color="auto" w:fill="auto"/>
            <w:noWrap/>
            <w:vAlign w:val="bottom"/>
            <w:hideMark/>
          </w:tcPr>
          <w:p w14:paraId="5F4BA22E"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84" w:type="dxa"/>
            <w:tcBorders>
              <w:top w:val="nil"/>
              <w:left w:val="nil"/>
              <w:bottom w:val="nil"/>
              <w:right w:val="nil"/>
            </w:tcBorders>
            <w:shd w:val="clear" w:color="auto" w:fill="auto"/>
            <w:noWrap/>
            <w:vAlign w:val="bottom"/>
            <w:hideMark/>
          </w:tcPr>
          <w:p w14:paraId="73999567"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1505" w:type="dxa"/>
            <w:tcBorders>
              <w:top w:val="nil"/>
              <w:left w:val="nil"/>
              <w:bottom w:val="nil"/>
              <w:right w:val="nil"/>
            </w:tcBorders>
            <w:shd w:val="clear" w:color="auto" w:fill="auto"/>
            <w:noWrap/>
            <w:vAlign w:val="bottom"/>
            <w:hideMark/>
          </w:tcPr>
          <w:p w14:paraId="66057BCA"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338" w:type="dxa"/>
            <w:tcBorders>
              <w:top w:val="nil"/>
              <w:left w:val="nil"/>
              <w:bottom w:val="nil"/>
              <w:right w:val="nil"/>
            </w:tcBorders>
            <w:shd w:val="clear" w:color="auto" w:fill="auto"/>
            <w:noWrap/>
            <w:vAlign w:val="bottom"/>
            <w:hideMark/>
          </w:tcPr>
          <w:p w14:paraId="7B6AD975"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1402" w:type="dxa"/>
            <w:tcBorders>
              <w:top w:val="nil"/>
              <w:left w:val="nil"/>
              <w:bottom w:val="nil"/>
              <w:right w:val="nil"/>
            </w:tcBorders>
            <w:shd w:val="clear" w:color="auto" w:fill="auto"/>
            <w:noWrap/>
            <w:vAlign w:val="bottom"/>
            <w:hideMark/>
          </w:tcPr>
          <w:p w14:paraId="4D255EFB"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r>
      <w:tr w:rsidR="00887F65" w:rsidRPr="002A394A" w14:paraId="16B3ADD2" w14:textId="77777777" w:rsidTr="00AA34CB">
        <w:trPr>
          <w:trHeight w:val="288"/>
        </w:trPr>
        <w:tc>
          <w:tcPr>
            <w:tcW w:w="4111" w:type="dxa"/>
            <w:gridSpan w:val="3"/>
            <w:tcBorders>
              <w:top w:val="nil"/>
              <w:left w:val="nil"/>
              <w:bottom w:val="nil"/>
              <w:right w:val="nil"/>
            </w:tcBorders>
            <w:shd w:val="clear" w:color="auto" w:fill="auto"/>
            <w:noWrap/>
            <w:vAlign w:val="bottom"/>
            <w:hideMark/>
          </w:tcPr>
          <w:p w14:paraId="4411C921"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r w:rsidRPr="002A394A">
              <w:rPr>
                <w:rFonts w:eastAsia="Times New Roman" w:cstheme="minorHAnsi"/>
                <w:color w:val="000000"/>
                <w:sz w:val="16"/>
                <w:szCs w:val="16"/>
                <w:lang w:eastAsia="en-GB"/>
              </w:rPr>
              <w:t>Earnings attributable to ordinary shareholders</w:t>
            </w:r>
          </w:p>
        </w:tc>
        <w:tc>
          <w:tcPr>
            <w:tcW w:w="1559" w:type="dxa"/>
            <w:tcBorders>
              <w:top w:val="nil"/>
              <w:left w:val="nil"/>
              <w:bottom w:val="nil"/>
              <w:right w:val="nil"/>
            </w:tcBorders>
            <w:shd w:val="clear" w:color="auto" w:fill="auto"/>
            <w:noWrap/>
            <w:vAlign w:val="bottom"/>
            <w:hideMark/>
          </w:tcPr>
          <w:p w14:paraId="795DCB94" w14:textId="3E417C9C" w:rsidR="00887F65" w:rsidRPr="002A394A" w:rsidRDefault="00045587"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3,447</w:t>
            </w:r>
          </w:p>
        </w:tc>
        <w:tc>
          <w:tcPr>
            <w:tcW w:w="284" w:type="dxa"/>
            <w:tcBorders>
              <w:top w:val="nil"/>
              <w:left w:val="nil"/>
              <w:bottom w:val="nil"/>
              <w:right w:val="nil"/>
            </w:tcBorders>
            <w:shd w:val="clear" w:color="auto" w:fill="auto"/>
            <w:noWrap/>
            <w:vAlign w:val="bottom"/>
            <w:hideMark/>
          </w:tcPr>
          <w:p w14:paraId="1E57EFBE"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1505" w:type="dxa"/>
            <w:tcBorders>
              <w:top w:val="nil"/>
              <w:left w:val="nil"/>
              <w:bottom w:val="nil"/>
              <w:right w:val="nil"/>
            </w:tcBorders>
            <w:shd w:val="clear" w:color="auto" w:fill="auto"/>
            <w:noWrap/>
            <w:vAlign w:val="bottom"/>
            <w:hideMark/>
          </w:tcPr>
          <w:p w14:paraId="2E9512FB" w14:textId="724DB721" w:rsidR="00622BAD" w:rsidRPr="002A394A" w:rsidRDefault="00862ADB" w:rsidP="00622BAD">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2A394A">
              <w:rPr>
                <w:rFonts w:eastAsia="Times New Roman" w:cstheme="minorHAnsi"/>
                <w:b/>
                <w:color w:val="000000"/>
                <w:sz w:val="16"/>
                <w:szCs w:val="16"/>
                <w:lang w:eastAsia="en-GB"/>
              </w:rPr>
              <w:t>92,512,704</w:t>
            </w:r>
          </w:p>
        </w:tc>
        <w:tc>
          <w:tcPr>
            <w:tcW w:w="338" w:type="dxa"/>
            <w:tcBorders>
              <w:top w:val="nil"/>
              <w:left w:val="nil"/>
              <w:bottom w:val="nil"/>
              <w:right w:val="nil"/>
            </w:tcBorders>
            <w:shd w:val="clear" w:color="auto" w:fill="auto"/>
            <w:noWrap/>
            <w:vAlign w:val="bottom"/>
            <w:hideMark/>
          </w:tcPr>
          <w:p w14:paraId="2806018D"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1402" w:type="dxa"/>
            <w:tcBorders>
              <w:top w:val="nil"/>
              <w:left w:val="nil"/>
              <w:bottom w:val="nil"/>
              <w:right w:val="nil"/>
            </w:tcBorders>
            <w:shd w:val="clear" w:color="auto" w:fill="auto"/>
            <w:noWrap/>
            <w:vAlign w:val="bottom"/>
            <w:hideMark/>
          </w:tcPr>
          <w:p w14:paraId="097633F3" w14:textId="61B9A46E" w:rsidR="00887F65" w:rsidRPr="002A394A" w:rsidRDefault="00045587"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3.73</w:t>
            </w:r>
          </w:p>
        </w:tc>
      </w:tr>
      <w:tr w:rsidR="00887F65" w:rsidRPr="002A394A" w14:paraId="5D8A296A" w14:textId="77777777" w:rsidTr="00AA34CB">
        <w:trPr>
          <w:trHeight w:val="288"/>
        </w:trPr>
        <w:tc>
          <w:tcPr>
            <w:tcW w:w="2345" w:type="dxa"/>
            <w:gridSpan w:val="2"/>
            <w:tcBorders>
              <w:top w:val="nil"/>
              <w:left w:val="nil"/>
              <w:bottom w:val="nil"/>
              <w:right w:val="nil"/>
            </w:tcBorders>
            <w:shd w:val="clear" w:color="auto" w:fill="auto"/>
            <w:noWrap/>
            <w:vAlign w:val="bottom"/>
            <w:hideMark/>
          </w:tcPr>
          <w:p w14:paraId="3BB29605"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b/>
                <w:color w:val="000000"/>
                <w:sz w:val="16"/>
                <w:szCs w:val="16"/>
                <w:lang w:eastAsia="en-GB"/>
              </w:rPr>
            </w:pPr>
            <w:r w:rsidRPr="002A394A">
              <w:rPr>
                <w:rFonts w:eastAsia="Times New Roman" w:cstheme="minorHAnsi"/>
                <w:b/>
                <w:color w:val="000000"/>
                <w:sz w:val="16"/>
                <w:szCs w:val="16"/>
                <w:lang w:eastAsia="en-GB"/>
              </w:rPr>
              <w:t>Diluted EPS</w:t>
            </w:r>
          </w:p>
        </w:tc>
        <w:tc>
          <w:tcPr>
            <w:tcW w:w="1766" w:type="dxa"/>
            <w:tcBorders>
              <w:top w:val="nil"/>
              <w:left w:val="nil"/>
              <w:bottom w:val="nil"/>
              <w:right w:val="nil"/>
            </w:tcBorders>
            <w:shd w:val="clear" w:color="auto" w:fill="auto"/>
            <w:noWrap/>
            <w:vAlign w:val="bottom"/>
            <w:hideMark/>
          </w:tcPr>
          <w:p w14:paraId="4D322046" w14:textId="77777777" w:rsidR="00887F65" w:rsidRPr="002A394A" w:rsidRDefault="00887F65" w:rsidP="00887F65">
            <w:pPr>
              <w:keepLines/>
              <w:widowControl w:val="0"/>
              <w:autoSpaceDE w:val="0"/>
              <w:autoSpaceDN w:val="0"/>
              <w:adjustRightInd w:val="0"/>
              <w:spacing w:after="0" w:line="240" w:lineRule="auto"/>
              <w:ind w:left="-142"/>
              <w:rPr>
                <w:rFonts w:eastAsia="Times New Roman" w:cstheme="minorHAnsi"/>
                <w:color w:val="000000"/>
                <w:sz w:val="16"/>
                <w:szCs w:val="16"/>
                <w:lang w:eastAsia="en-GB"/>
              </w:rPr>
            </w:pPr>
          </w:p>
        </w:tc>
        <w:tc>
          <w:tcPr>
            <w:tcW w:w="1559" w:type="dxa"/>
            <w:tcBorders>
              <w:top w:val="nil"/>
              <w:left w:val="nil"/>
              <w:right w:val="nil"/>
            </w:tcBorders>
            <w:shd w:val="clear" w:color="auto" w:fill="auto"/>
            <w:noWrap/>
            <w:vAlign w:val="bottom"/>
            <w:hideMark/>
          </w:tcPr>
          <w:p w14:paraId="170CEAD5"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b/>
                <w:color w:val="000000"/>
                <w:sz w:val="16"/>
                <w:szCs w:val="16"/>
                <w:lang w:eastAsia="en-GB"/>
              </w:rPr>
            </w:pPr>
          </w:p>
        </w:tc>
        <w:tc>
          <w:tcPr>
            <w:tcW w:w="284" w:type="dxa"/>
            <w:tcBorders>
              <w:top w:val="nil"/>
              <w:left w:val="nil"/>
              <w:bottom w:val="nil"/>
              <w:right w:val="nil"/>
            </w:tcBorders>
            <w:shd w:val="clear" w:color="auto" w:fill="auto"/>
            <w:noWrap/>
            <w:vAlign w:val="bottom"/>
            <w:hideMark/>
          </w:tcPr>
          <w:p w14:paraId="6599B934"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1505" w:type="dxa"/>
            <w:tcBorders>
              <w:top w:val="nil"/>
              <w:left w:val="nil"/>
              <w:right w:val="nil"/>
            </w:tcBorders>
            <w:shd w:val="clear" w:color="auto" w:fill="auto"/>
            <w:noWrap/>
            <w:vAlign w:val="bottom"/>
            <w:hideMark/>
          </w:tcPr>
          <w:p w14:paraId="5562F933"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b/>
                <w:color w:val="000000"/>
                <w:sz w:val="16"/>
                <w:szCs w:val="16"/>
                <w:lang w:eastAsia="en-GB"/>
              </w:rPr>
            </w:pPr>
          </w:p>
        </w:tc>
        <w:tc>
          <w:tcPr>
            <w:tcW w:w="338" w:type="dxa"/>
            <w:tcBorders>
              <w:top w:val="nil"/>
              <w:left w:val="nil"/>
              <w:bottom w:val="nil"/>
              <w:right w:val="nil"/>
            </w:tcBorders>
            <w:shd w:val="clear" w:color="auto" w:fill="auto"/>
            <w:noWrap/>
            <w:vAlign w:val="bottom"/>
            <w:hideMark/>
          </w:tcPr>
          <w:p w14:paraId="50FEF64A"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1402" w:type="dxa"/>
            <w:tcBorders>
              <w:top w:val="nil"/>
              <w:left w:val="nil"/>
              <w:right w:val="nil"/>
            </w:tcBorders>
            <w:shd w:val="clear" w:color="auto" w:fill="auto"/>
            <w:noWrap/>
            <w:vAlign w:val="bottom"/>
            <w:hideMark/>
          </w:tcPr>
          <w:p w14:paraId="603B49C6"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b/>
                <w:color w:val="000000"/>
                <w:sz w:val="16"/>
                <w:szCs w:val="16"/>
                <w:lang w:eastAsia="en-GB"/>
              </w:rPr>
            </w:pPr>
          </w:p>
        </w:tc>
      </w:tr>
      <w:tr w:rsidR="00887F65" w:rsidRPr="002A394A" w14:paraId="7B21201D" w14:textId="77777777" w:rsidTr="00AA34CB">
        <w:trPr>
          <w:trHeight w:val="288"/>
        </w:trPr>
        <w:tc>
          <w:tcPr>
            <w:tcW w:w="4111" w:type="dxa"/>
            <w:gridSpan w:val="3"/>
            <w:tcBorders>
              <w:top w:val="nil"/>
              <w:left w:val="nil"/>
              <w:bottom w:val="nil"/>
              <w:right w:val="nil"/>
            </w:tcBorders>
            <w:shd w:val="clear" w:color="auto" w:fill="auto"/>
            <w:noWrap/>
            <w:vAlign w:val="bottom"/>
            <w:hideMark/>
          </w:tcPr>
          <w:p w14:paraId="1863A459"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r w:rsidRPr="002A394A">
              <w:rPr>
                <w:rFonts w:eastAsia="Times New Roman" w:cstheme="minorHAnsi"/>
                <w:color w:val="000000"/>
                <w:sz w:val="16"/>
                <w:szCs w:val="16"/>
                <w:lang w:eastAsia="en-GB"/>
              </w:rPr>
              <w:t>Adjusted earnings</w:t>
            </w:r>
          </w:p>
        </w:tc>
        <w:tc>
          <w:tcPr>
            <w:tcW w:w="1559" w:type="dxa"/>
            <w:tcBorders>
              <w:top w:val="nil"/>
              <w:left w:val="nil"/>
              <w:bottom w:val="double" w:sz="4" w:space="0" w:color="auto"/>
              <w:right w:val="nil"/>
            </w:tcBorders>
            <w:shd w:val="clear" w:color="auto" w:fill="auto"/>
            <w:noWrap/>
            <w:vAlign w:val="bottom"/>
            <w:hideMark/>
          </w:tcPr>
          <w:p w14:paraId="41A49FD5" w14:textId="39DCE16D" w:rsidR="00887F65" w:rsidRPr="002A394A" w:rsidRDefault="00045587"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3,447</w:t>
            </w:r>
          </w:p>
        </w:tc>
        <w:tc>
          <w:tcPr>
            <w:tcW w:w="284" w:type="dxa"/>
            <w:tcBorders>
              <w:top w:val="nil"/>
              <w:left w:val="nil"/>
              <w:bottom w:val="nil"/>
              <w:right w:val="nil"/>
            </w:tcBorders>
            <w:shd w:val="clear" w:color="auto" w:fill="auto"/>
            <w:noWrap/>
            <w:vAlign w:val="bottom"/>
            <w:hideMark/>
          </w:tcPr>
          <w:p w14:paraId="63947C61"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1505" w:type="dxa"/>
            <w:tcBorders>
              <w:top w:val="nil"/>
              <w:left w:val="nil"/>
              <w:bottom w:val="double" w:sz="4" w:space="0" w:color="auto"/>
              <w:right w:val="nil"/>
            </w:tcBorders>
            <w:shd w:val="clear" w:color="auto" w:fill="auto"/>
            <w:noWrap/>
            <w:vAlign w:val="bottom"/>
            <w:hideMark/>
          </w:tcPr>
          <w:p w14:paraId="52747273" w14:textId="07DD9BF6" w:rsidR="00887F65" w:rsidRPr="002A394A" w:rsidRDefault="00622BAD"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2A394A">
              <w:rPr>
                <w:rFonts w:eastAsia="Times New Roman" w:cstheme="minorHAnsi"/>
                <w:b/>
                <w:color w:val="000000"/>
                <w:sz w:val="16"/>
                <w:szCs w:val="16"/>
                <w:lang w:eastAsia="en-GB"/>
              </w:rPr>
              <w:t>9</w:t>
            </w:r>
            <w:r w:rsidR="00862ADB" w:rsidRPr="002A394A">
              <w:rPr>
                <w:rFonts w:eastAsia="Times New Roman" w:cstheme="minorHAnsi"/>
                <w:b/>
                <w:color w:val="000000"/>
                <w:sz w:val="16"/>
                <w:szCs w:val="16"/>
                <w:lang w:eastAsia="en-GB"/>
              </w:rPr>
              <w:t>2,512,704</w:t>
            </w:r>
          </w:p>
        </w:tc>
        <w:tc>
          <w:tcPr>
            <w:tcW w:w="338" w:type="dxa"/>
            <w:tcBorders>
              <w:top w:val="nil"/>
              <w:left w:val="nil"/>
              <w:bottom w:val="nil"/>
              <w:right w:val="nil"/>
            </w:tcBorders>
            <w:shd w:val="clear" w:color="auto" w:fill="auto"/>
            <w:noWrap/>
            <w:vAlign w:val="bottom"/>
            <w:hideMark/>
          </w:tcPr>
          <w:p w14:paraId="58577E1E"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1402" w:type="dxa"/>
            <w:tcBorders>
              <w:top w:val="nil"/>
              <w:left w:val="nil"/>
              <w:bottom w:val="double" w:sz="4" w:space="0" w:color="auto"/>
              <w:right w:val="nil"/>
            </w:tcBorders>
            <w:shd w:val="clear" w:color="auto" w:fill="auto"/>
            <w:noWrap/>
            <w:vAlign w:val="bottom"/>
            <w:hideMark/>
          </w:tcPr>
          <w:p w14:paraId="2F8E24A8" w14:textId="041853B9" w:rsidR="00887F65" w:rsidRPr="002A394A" w:rsidRDefault="00045587"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Pr>
                <w:rFonts w:eastAsia="Times New Roman" w:cstheme="minorHAnsi"/>
                <w:b/>
                <w:color w:val="000000"/>
                <w:sz w:val="16"/>
                <w:szCs w:val="16"/>
                <w:lang w:eastAsia="en-GB"/>
              </w:rPr>
              <w:t>3.73</w:t>
            </w:r>
          </w:p>
        </w:tc>
      </w:tr>
      <w:bookmarkEnd w:id="0"/>
    </w:tbl>
    <w:p w14:paraId="40D9E5A2" w14:textId="77777777" w:rsidR="00887F65" w:rsidRPr="002A394A" w:rsidRDefault="00887F65" w:rsidP="00887F65">
      <w:pPr>
        <w:widowControl w:val="0"/>
        <w:tabs>
          <w:tab w:val="left" w:pos="1543"/>
        </w:tabs>
        <w:autoSpaceDE w:val="0"/>
        <w:autoSpaceDN w:val="0"/>
        <w:adjustRightInd w:val="0"/>
        <w:spacing w:after="0" w:line="240" w:lineRule="auto"/>
        <w:ind w:left="1543" w:right="941"/>
        <w:jc w:val="both"/>
        <w:rPr>
          <w:rFonts w:eastAsia="Times New Roman" w:cstheme="minorHAnsi"/>
          <w:color w:val="000000"/>
          <w:sz w:val="16"/>
          <w:szCs w:val="16"/>
          <w:lang w:eastAsia="en-GB"/>
        </w:rPr>
      </w:pPr>
    </w:p>
    <w:p w14:paraId="024B3D50" w14:textId="77777777" w:rsidR="00887F65" w:rsidRPr="002A394A" w:rsidRDefault="00887F65" w:rsidP="00887F65">
      <w:pPr>
        <w:widowControl w:val="0"/>
        <w:tabs>
          <w:tab w:val="left" w:pos="1543"/>
        </w:tabs>
        <w:autoSpaceDE w:val="0"/>
        <w:autoSpaceDN w:val="0"/>
        <w:adjustRightInd w:val="0"/>
        <w:spacing w:after="0" w:line="240" w:lineRule="auto"/>
        <w:ind w:left="1543" w:right="941"/>
        <w:jc w:val="both"/>
        <w:rPr>
          <w:rFonts w:eastAsia="Times New Roman" w:cstheme="minorHAnsi"/>
          <w:color w:val="000000"/>
          <w:sz w:val="16"/>
          <w:szCs w:val="16"/>
          <w:lang w:eastAsia="en-GB"/>
        </w:rPr>
      </w:pPr>
    </w:p>
    <w:p w14:paraId="1B7BE827" w14:textId="3533DAA0" w:rsidR="00887F65" w:rsidRPr="002A394A" w:rsidRDefault="00887F65" w:rsidP="007C69EE">
      <w:pPr>
        <w:widowControl w:val="0"/>
        <w:tabs>
          <w:tab w:val="left" w:pos="0"/>
        </w:tabs>
        <w:autoSpaceDE w:val="0"/>
        <w:autoSpaceDN w:val="0"/>
        <w:adjustRightInd w:val="0"/>
        <w:spacing w:after="0" w:line="240" w:lineRule="auto"/>
        <w:ind w:right="941"/>
        <w:jc w:val="both"/>
        <w:rPr>
          <w:rFonts w:eastAsia="Times New Roman" w:cstheme="minorHAnsi"/>
          <w:b/>
          <w:color w:val="000000"/>
          <w:sz w:val="16"/>
          <w:szCs w:val="16"/>
          <w:lang w:eastAsia="en-GB"/>
        </w:rPr>
      </w:pPr>
      <w:r w:rsidRPr="002A394A">
        <w:rPr>
          <w:rFonts w:eastAsia="Times New Roman" w:cstheme="minorHAnsi"/>
          <w:b/>
          <w:color w:val="000000"/>
          <w:sz w:val="16"/>
          <w:szCs w:val="16"/>
          <w:lang w:eastAsia="en-GB"/>
        </w:rPr>
        <w:t>20</w:t>
      </w:r>
      <w:r w:rsidR="00FC10D6" w:rsidRPr="002A394A">
        <w:rPr>
          <w:rFonts w:eastAsia="Times New Roman" w:cstheme="minorHAnsi"/>
          <w:b/>
          <w:color w:val="000000"/>
          <w:sz w:val="16"/>
          <w:szCs w:val="16"/>
          <w:lang w:eastAsia="en-GB"/>
        </w:rPr>
        <w:t>2</w:t>
      </w:r>
      <w:r w:rsidR="006063D8">
        <w:rPr>
          <w:rFonts w:eastAsia="Times New Roman" w:cstheme="minorHAnsi"/>
          <w:b/>
          <w:color w:val="000000"/>
          <w:sz w:val="16"/>
          <w:szCs w:val="16"/>
          <w:lang w:eastAsia="en-GB"/>
        </w:rPr>
        <w:t>2</w:t>
      </w:r>
    </w:p>
    <w:tbl>
      <w:tblPr>
        <w:tblW w:w="9199" w:type="dxa"/>
        <w:tblLook w:val="04A0" w:firstRow="1" w:lastRow="0" w:firstColumn="1" w:lastColumn="0" w:noHBand="0" w:noVBand="1"/>
      </w:tblPr>
      <w:tblGrid>
        <w:gridCol w:w="1385"/>
        <w:gridCol w:w="960"/>
        <w:gridCol w:w="1766"/>
        <w:gridCol w:w="1559"/>
        <w:gridCol w:w="284"/>
        <w:gridCol w:w="1505"/>
        <w:gridCol w:w="338"/>
        <w:gridCol w:w="1402"/>
      </w:tblGrid>
      <w:tr w:rsidR="00887F65" w:rsidRPr="002A394A" w14:paraId="75C42F38" w14:textId="77777777" w:rsidTr="007C69EE">
        <w:trPr>
          <w:trHeight w:val="288"/>
        </w:trPr>
        <w:tc>
          <w:tcPr>
            <w:tcW w:w="1385" w:type="dxa"/>
            <w:tcBorders>
              <w:top w:val="nil"/>
              <w:left w:val="nil"/>
              <w:bottom w:val="nil"/>
              <w:right w:val="nil"/>
            </w:tcBorders>
            <w:shd w:val="clear" w:color="auto" w:fill="auto"/>
            <w:noWrap/>
            <w:vAlign w:val="bottom"/>
            <w:hideMark/>
          </w:tcPr>
          <w:p w14:paraId="7B85DB96"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945FBE8" w14:textId="77777777" w:rsidR="00887F65" w:rsidRPr="002A394A" w:rsidRDefault="00887F65" w:rsidP="00887F65">
            <w:pPr>
              <w:keepLines/>
              <w:widowControl w:val="0"/>
              <w:autoSpaceDE w:val="0"/>
              <w:autoSpaceDN w:val="0"/>
              <w:adjustRightInd w:val="0"/>
              <w:spacing w:after="0" w:line="240" w:lineRule="auto"/>
              <w:jc w:val="both"/>
              <w:rPr>
                <w:rFonts w:eastAsia="Times New Roman" w:cstheme="minorHAnsi"/>
                <w:b/>
                <w:color w:val="000000"/>
                <w:sz w:val="16"/>
                <w:szCs w:val="16"/>
                <w:lang w:eastAsia="en-GB"/>
              </w:rPr>
            </w:pPr>
          </w:p>
        </w:tc>
        <w:tc>
          <w:tcPr>
            <w:tcW w:w="1766" w:type="dxa"/>
            <w:tcBorders>
              <w:top w:val="nil"/>
              <w:left w:val="nil"/>
              <w:bottom w:val="nil"/>
              <w:right w:val="nil"/>
            </w:tcBorders>
            <w:shd w:val="clear" w:color="auto" w:fill="auto"/>
            <w:noWrap/>
            <w:vAlign w:val="bottom"/>
            <w:hideMark/>
          </w:tcPr>
          <w:p w14:paraId="6CDDDB34"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b/>
                <w:color w:val="000000"/>
                <w:sz w:val="16"/>
                <w:szCs w:val="16"/>
                <w:lang w:eastAsia="en-GB"/>
              </w:rPr>
            </w:pPr>
          </w:p>
        </w:tc>
        <w:tc>
          <w:tcPr>
            <w:tcW w:w="1559" w:type="dxa"/>
            <w:tcBorders>
              <w:top w:val="nil"/>
              <w:left w:val="nil"/>
              <w:bottom w:val="nil"/>
              <w:right w:val="nil"/>
            </w:tcBorders>
            <w:shd w:val="clear" w:color="auto" w:fill="auto"/>
            <w:noWrap/>
            <w:vAlign w:val="bottom"/>
            <w:hideMark/>
          </w:tcPr>
          <w:p w14:paraId="162F57A0"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2A394A">
              <w:rPr>
                <w:rFonts w:eastAsia="Times New Roman" w:cstheme="minorHAnsi"/>
                <w:b/>
                <w:color w:val="000000"/>
                <w:sz w:val="16"/>
                <w:szCs w:val="16"/>
                <w:lang w:eastAsia="en-GB"/>
              </w:rPr>
              <w:t>Earnings</w:t>
            </w:r>
          </w:p>
          <w:p w14:paraId="314140CF"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2A394A">
              <w:rPr>
                <w:rFonts w:eastAsia="Times New Roman" w:cstheme="minorHAnsi"/>
                <w:b/>
                <w:color w:val="000000"/>
                <w:sz w:val="16"/>
                <w:szCs w:val="16"/>
                <w:lang w:eastAsia="en-GB"/>
              </w:rPr>
              <w:t>£’000</w:t>
            </w:r>
          </w:p>
        </w:tc>
        <w:tc>
          <w:tcPr>
            <w:tcW w:w="284" w:type="dxa"/>
            <w:tcBorders>
              <w:top w:val="nil"/>
              <w:left w:val="nil"/>
              <w:bottom w:val="nil"/>
              <w:right w:val="nil"/>
            </w:tcBorders>
            <w:shd w:val="clear" w:color="auto" w:fill="auto"/>
            <w:noWrap/>
            <w:vAlign w:val="bottom"/>
            <w:hideMark/>
          </w:tcPr>
          <w:p w14:paraId="2F601B12"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1505" w:type="dxa"/>
            <w:tcBorders>
              <w:top w:val="nil"/>
              <w:left w:val="nil"/>
              <w:bottom w:val="nil"/>
              <w:right w:val="nil"/>
            </w:tcBorders>
            <w:shd w:val="clear" w:color="auto" w:fill="auto"/>
            <w:noWrap/>
            <w:vAlign w:val="bottom"/>
            <w:hideMark/>
          </w:tcPr>
          <w:p w14:paraId="14FB3B29"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2A394A">
              <w:rPr>
                <w:rFonts w:eastAsia="Times New Roman" w:cstheme="minorHAnsi"/>
                <w:b/>
                <w:color w:val="000000"/>
                <w:sz w:val="16"/>
                <w:szCs w:val="16"/>
                <w:lang w:eastAsia="en-GB"/>
              </w:rPr>
              <w:t>Weighted average number of shares</w:t>
            </w:r>
          </w:p>
        </w:tc>
        <w:tc>
          <w:tcPr>
            <w:tcW w:w="338" w:type="dxa"/>
            <w:tcBorders>
              <w:top w:val="nil"/>
              <w:left w:val="nil"/>
              <w:bottom w:val="nil"/>
              <w:right w:val="nil"/>
            </w:tcBorders>
            <w:shd w:val="clear" w:color="auto" w:fill="auto"/>
            <w:noWrap/>
            <w:vAlign w:val="bottom"/>
            <w:hideMark/>
          </w:tcPr>
          <w:p w14:paraId="05196186"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p>
        </w:tc>
        <w:tc>
          <w:tcPr>
            <w:tcW w:w="1402" w:type="dxa"/>
            <w:tcBorders>
              <w:top w:val="nil"/>
              <w:left w:val="nil"/>
              <w:bottom w:val="nil"/>
              <w:right w:val="nil"/>
            </w:tcBorders>
            <w:shd w:val="clear" w:color="auto" w:fill="auto"/>
            <w:noWrap/>
            <w:vAlign w:val="bottom"/>
            <w:hideMark/>
          </w:tcPr>
          <w:p w14:paraId="39BF0C0D"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2A394A">
              <w:rPr>
                <w:rFonts w:eastAsia="Times New Roman" w:cstheme="minorHAnsi"/>
                <w:b/>
                <w:color w:val="000000"/>
                <w:sz w:val="16"/>
                <w:szCs w:val="16"/>
                <w:lang w:eastAsia="en-GB"/>
              </w:rPr>
              <w:t>Per-share amount</w:t>
            </w:r>
          </w:p>
          <w:p w14:paraId="713E154D"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b/>
                <w:color w:val="000000"/>
                <w:sz w:val="16"/>
                <w:szCs w:val="16"/>
                <w:lang w:eastAsia="en-GB"/>
              </w:rPr>
            </w:pPr>
            <w:r w:rsidRPr="002A394A">
              <w:rPr>
                <w:rFonts w:eastAsia="Times New Roman" w:cstheme="minorHAnsi"/>
                <w:b/>
                <w:color w:val="000000"/>
                <w:sz w:val="16"/>
                <w:szCs w:val="16"/>
                <w:lang w:eastAsia="en-GB"/>
              </w:rPr>
              <w:t>pence</w:t>
            </w:r>
          </w:p>
        </w:tc>
      </w:tr>
      <w:tr w:rsidR="00887F65" w:rsidRPr="002A394A" w14:paraId="790B5539" w14:textId="77777777" w:rsidTr="007C69EE">
        <w:trPr>
          <w:trHeight w:val="288"/>
        </w:trPr>
        <w:tc>
          <w:tcPr>
            <w:tcW w:w="1385" w:type="dxa"/>
            <w:tcBorders>
              <w:top w:val="nil"/>
              <w:left w:val="nil"/>
              <w:bottom w:val="nil"/>
              <w:right w:val="nil"/>
            </w:tcBorders>
            <w:shd w:val="clear" w:color="auto" w:fill="auto"/>
            <w:noWrap/>
            <w:vAlign w:val="bottom"/>
            <w:hideMark/>
          </w:tcPr>
          <w:p w14:paraId="0254681D"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B2AE23E"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1766" w:type="dxa"/>
            <w:tcBorders>
              <w:top w:val="nil"/>
              <w:left w:val="nil"/>
              <w:bottom w:val="nil"/>
              <w:right w:val="nil"/>
            </w:tcBorders>
            <w:shd w:val="clear" w:color="auto" w:fill="auto"/>
            <w:noWrap/>
            <w:vAlign w:val="bottom"/>
            <w:hideMark/>
          </w:tcPr>
          <w:p w14:paraId="37367031"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1559" w:type="dxa"/>
            <w:tcBorders>
              <w:top w:val="nil"/>
              <w:left w:val="nil"/>
              <w:bottom w:val="nil"/>
              <w:right w:val="nil"/>
            </w:tcBorders>
            <w:shd w:val="clear" w:color="auto" w:fill="auto"/>
            <w:noWrap/>
            <w:vAlign w:val="bottom"/>
            <w:hideMark/>
          </w:tcPr>
          <w:p w14:paraId="3E7AE889"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84" w:type="dxa"/>
            <w:tcBorders>
              <w:top w:val="nil"/>
              <w:left w:val="nil"/>
              <w:bottom w:val="nil"/>
              <w:right w:val="nil"/>
            </w:tcBorders>
            <w:shd w:val="clear" w:color="auto" w:fill="auto"/>
            <w:noWrap/>
            <w:vAlign w:val="bottom"/>
            <w:hideMark/>
          </w:tcPr>
          <w:p w14:paraId="0C37965B"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1505" w:type="dxa"/>
            <w:tcBorders>
              <w:top w:val="nil"/>
              <w:left w:val="nil"/>
              <w:bottom w:val="nil"/>
              <w:right w:val="nil"/>
            </w:tcBorders>
            <w:shd w:val="clear" w:color="auto" w:fill="auto"/>
            <w:noWrap/>
            <w:vAlign w:val="bottom"/>
            <w:hideMark/>
          </w:tcPr>
          <w:p w14:paraId="4B8FD895"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338" w:type="dxa"/>
            <w:tcBorders>
              <w:top w:val="nil"/>
              <w:left w:val="nil"/>
              <w:bottom w:val="nil"/>
              <w:right w:val="nil"/>
            </w:tcBorders>
            <w:shd w:val="clear" w:color="auto" w:fill="auto"/>
            <w:noWrap/>
            <w:vAlign w:val="bottom"/>
            <w:hideMark/>
          </w:tcPr>
          <w:p w14:paraId="68749675"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1402" w:type="dxa"/>
            <w:tcBorders>
              <w:top w:val="nil"/>
              <w:left w:val="nil"/>
              <w:bottom w:val="nil"/>
              <w:right w:val="nil"/>
            </w:tcBorders>
            <w:shd w:val="clear" w:color="auto" w:fill="auto"/>
            <w:noWrap/>
            <w:vAlign w:val="bottom"/>
            <w:hideMark/>
          </w:tcPr>
          <w:p w14:paraId="5BBCE789"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r>
      <w:tr w:rsidR="00887F65" w:rsidRPr="002A394A" w14:paraId="43CD8FBE" w14:textId="77777777" w:rsidTr="007C69EE">
        <w:trPr>
          <w:trHeight w:val="288"/>
        </w:trPr>
        <w:tc>
          <w:tcPr>
            <w:tcW w:w="1385" w:type="dxa"/>
            <w:tcBorders>
              <w:top w:val="nil"/>
              <w:left w:val="nil"/>
              <w:bottom w:val="nil"/>
              <w:right w:val="nil"/>
            </w:tcBorders>
            <w:shd w:val="clear" w:color="auto" w:fill="auto"/>
            <w:noWrap/>
            <w:vAlign w:val="bottom"/>
            <w:hideMark/>
          </w:tcPr>
          <w:p w14:paraId="42D15F79"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b/>
                <w:color w:val="000000"/>
                <w:sz w:val="16"/>
                <w:szCs w:val="16"/>
                <w:lang w:eastAsia="en-GB"/>
              </w:rPr>
            </w:pPr>
            <w:r w:rsidRPr="002A394A">
              <w:rPr>
                <w:rFonts w:eastAsia="Times New Roman" w:cstheme="minorHAnsi"/>
                <w:b/>
                <w:color w:val="000000"/>
                <w:sz w:val="16"/>
                <w:szCs w:val="16"/>
                <w:lang w:eastAsia="en-GB"/>
              </w:rPr>
              <w:t>Basic EPS</w:t>
            </w:r>
          </w:p>
        </w:tc>
        <w:tc>
          <w:tcPr>
            <w:tcW w:w="960" w:type="dxa"/>
            <w:tcBorders>
              <w:top w:val="nil"/>
              <w:left w:val="nil"/>
              <w:bottom w:val="nil"/>
              <w:right w:val="nil"/>
            </w:tcBorders>
            <w:shd w:val="clear" w:color="auto" w:fill="auto"/>
            <w:noWrap/>
            <w:vAlign w:val="bottom"/>
            <w:hideMark/>
          </w:tcPr>
          <w:p w14:paraId="754870DB"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b/>
                <w:color w:val="000000"/>
                <w:sz w:val="16"/>
                <w:szCs w:val="16"/>
                <w:lang w:eastAsia="en-GB"/>
              </w:rPr>
            </w:pPr>
          </w:p>
        </w:tc>
        <w:tc>
          <w:tcPr>
            <w:tcW w:w="1766" w:type="dxa"/>
            <w:tcBorders>
              <w:top w:val="nil"/>
              <w:left w:val="nil"/>
              <w:bottom w:val="nil"/>
              <w:right w:val="nil"/>
            </w:tcBorders>
            <w:shd w:val="clear" w:color="auto" w:fill="auto"/>
            <w:noWrap/>
            <w:vAlign w:val="bottom"/>
            <w:hideMark/>
          </w:tcPr>
          <w:p w14:paraId="771E81D5"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1559" w:type="dxa"/>
            <w:tcBorders>
              <w:top w:val="nil"/>
              <w:left w:val="nil"/>
              <w:bottom w:val="nil"/>
              <w:right w:val="nil"/>
            </w:tcBorders>
            <w:shd w:val="clear" w:color="auto" w:fill="auto"/>
            <w:noWrap/>
            <w:vAlign w:val="bottom"/>
            <w:hideMark/>
          </w:tcPr>
          <w:p w14:paraId="6867C761"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84" w:type="dxa"/>
            <w:tcBorders>
              <w:top w:val="nil"/>
              <w:left w:val="nil"/>
              <w:bottom w:val="nil"/>
              <w:right w:val="nil"/>
            </w:tcBorders>
            <w:shd w:val="clear" w:color="auto" w:fill="auto"/>
            <w:noWrap/>
            <w:vAlign w:val="bottom"/>
            <w:hideMark/>
          </w:tcPr>
          <w:p w14:paraId="7058CFF1"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1505" w:type="dxa"/>
            <w:tcBorders>
              <w:top w:val="nil"/>
              <w:left w:val="nil"/>
              <w:bottom w:val="nil"/>
              <w:right w:val="nil"/>
            </w:tcBorders>
            <w:shd w:val="clear" w:color="auto" w:fill="auto"/>
            <w:noWrap/>
            <w:vAlign w:val="bottom"/>
            <w:hideMark/>
          </w:tcPr>
          <w:p w14:paraId="1A2E4C7C"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338" w:type="dxa"/>
            <w:tcBorders>
              <w:top w:val="nil"/>
              <w:left w:val="nil"/>
              <w:bottom w:val="nil"/>
              <w:right w:val="nil"/>
            </w:tcBorders>
            <w:shd w:val="clear" w:color="auto" w:fill="auto"/>
            <w:noWrap/>
            <w:vAlign w:val="bottom"/>
            <w:hideMark/>
          </w:tcPr>
          <w:p w14:paraId="7D38F54E"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1402" w:type="dxa"/>
            <w:tcBorders>
              <w:top w:val="nil"/>
              <w:left w:val="nil"/>
              <w:bottom w:val="nil"/>
              <w:right w:val="nil"/>
            </w:tcBorders>
            <w:shd w:val="clear" w:color="auto" w:fill="auto"/>
            <w:noWrap/>
            <w:vAlign w:val="bottom"/>
            <w:hideMark/>
          </w:tcPr>
          <w:p w14:paraId="0D279D63"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r>
      <w:tr w:rsidR="00887F65" w:rsidRPr="002A394A" w14:paraId="1D49BE72" w14:textId="77777777" w:rsidTr="007C69EE">
        <w:trPr>
          <w:trHeight w:val="288"/>
        </w:trPr>
        <w:tc>
          <w:tcPr>
            <w:tcW w:w="4111" w:type="dxa"/>
            <w:gridSpan w:val="3"/>
            <w:tcBorders>
              <w:top w:val="nil"/>
              <w:left w:val="nil"/>
              <w:bottom w:val="nil"/>
              <w:right w:val="nil"/>
            </w:tcBorders>
            <w:shd w:val="clear" w:color="auto" w:fill="auto"/>
            <w:noWrap/>
            <w:vAlign w:val="bottom"/>
            <w:hideMark/>
          </w:tcPr>
          <w:p w14:paraId="40104F61"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r w:rsidRPr="002A394A">
              <w:rPr>
                <w:rFonts w:eastAsia="Times New Roman" w:cstheme="minorHAnsi"/>
                <w:color w:val="000000"/>
                <w:sz w:val="16"/>
                <w:szCs w:val="16"/>
                <w:lang w:eastAsia="en-GB"/>
              </w:rPr>
              <w:t>Earnings attributable to ordinary shareholders</w:t>
            </w:r>
          </w:p>
        </w:tc>
        <w:tc>
          <w:tcPr>
            <w:tcW w:w="1559" w:type="dxa"/>
            <w:tcBorders>
              <w:top w:val="nil"/>
              <w:left w:val="nil"/>
              <w:bottom w:val="nil"/>
              <w:right w:val="nil"/>
            </w:tcBorders>
            <w:shd w:val="clear" w:color="auto" w:fill="auto"/>
            <w:noWrap/>
            <w:vAlign w:val="bottom"/>
            <w:hideMark/>
          </w:tcPr>
          <w:p w14:paraId="4CC21088" w14:textId="5341C1CD" w:rsidR="00887F65" w:rsidRPr="002A394A" w:rsidRDefault="00045587"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r>
              <w:rPr>
                <w:rFonts w:eastAsia="Times New Roman" w:cstheme="minorHAnsi"/>
                <w:color w:val="000000"/>
                <w:sz w:val="16"/>
                <w:szCs w:val="16"/>
                <w:lang w:eastAsia="en-GB"/>
              </w:rPr>
              <w:t>921</w:t>
            </w:r>
          </w:p>
        </w:tc>
        <w:tc>
          <w:tcPr>
            <w:tcW w:w="284" w:type="dxa"/>
            <w:tcBorders>
              <w:top w:val="nil"/>
              <w:left w:val="nil"/>
              <w:bottom w:val="nil"/>
              <w:right w:val="nil"/>
            </w:tcBorders>
            <w:shd w:val="clear" w:color="auto" w:fill="auto"/>
            <w:noWrap/>
            <w:vAlign w:val="bottom"/>
            <w:hideMark/>
          </w:tcPr>
          <w:p w14:paraId="4C011882"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1505" w:type="dxa"/>
            <w:tcBorders>
              <w:top w:val="nil"/>
              <w:left w:val="nil"/>
              <w:bottom w:val="nil"/>
              <w:right w:val="nil"/>
            </w:tcBorders>
            <w:shd w:val="clear" w:color="auto" w:fill="auto"/>
            <w:noWrap/>
            <w:vAlign w:val="bottom"/>
            <w:hideMark/>
          </w:tcPr>
          <w:p w14:paraId="61160AAB" w14:textId="4134FC9D" w:rsidR="00887F65" w:rsidRPr="002A394A" w:rsidRDefault="00045587"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r>
              <w:rPr>
                <w:rFonts w:eastAsia="Times New Roman" w:cstheme="minorHAnsi"/>
                <w:color w:val="000000"/>
                <w:sz w:val="16"/>
                <w:szCs w:val="16"/>
                <w:lang w:eastAsia="en-GB"/>
              </w:rPr>
              <w:t>92,512,704</w:t>
            </w:r>
          </w:p>
        </w:tc>
        <w:tc>
          <w:tcPr>
            <w:tcW w:w="338" w:type="dxa"/>
            <w:tcBorders>
              <w:top w:val="nil"/>
              <w:left w:val="nil"/>
              <w:bottom w:val="nil"/>
              <w:right w:val="nil"/>
            </w:tcBorders>
            <w:shd w:val="clear" w:color="auto" w:fill="auto"/>
            <w:noWrap/>
            <w:vAlign w:val="bottom"/>
            <w:hideMark/>
          </w:tcPr>
          <w:p w14:paraId="25A41AFD"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1402" w:type="dxa"/>
            <w:tcBorders>
              <w:top w:val="nil"/>
              <w:left w:val="nil"/>
              <w:bottom w:val="nil"/>
              <w:right w:val="nil"/>
            </w:tcBorders>
            <w:shd w:val="clear" w:color="auto" w:fill="auto"/>
            <w:noWrap/>
            <w:vAlign w:val="bottom"/>
            <w:hideMark/>
          </w:tcPr>
          <w:p w14:paraId="23AC1FB9" w14:textId="2552B376" w:rsidR="00887F65" w:rsidRPr="002A394A" w:rsidRDefault="00FC10D6"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r w:rsidRPr="002A394A">
              <w:rPr>
                <w:rFonts w:eastAsia="Times New Roman" w:cstheme="minorHAnsi"/>
                <w:color w:val="000000"/>
                <w:sz w:val="16"/>
                <w:szCs w:val="16"/>
                <w:lang w:eastAsia="en-GB"/>
              </w:rPr>
              <w:t>1.</w:t>
            </w:r>
            <w:r w:rsidR="00045587">
              <w:rPr>
                <w:rFonts w:eastAsia="Times New Roman" w:cstheme="minorHAnsi"/>
                <w:color w:val="000000"/>
                <w:sz w:val="16"/>
                <w:szCs w:val="16"/>
                <w:lang w:eastAsia="en-GB"/>
              </w:rPr>
              <w:t>00</w:t>
            </w:r>
          </w:p>
        </w:tc>
      </w:tr>
      <w:tr w:rsidR="00887F65" w:rsidRPr="002A394A" w14:paraId="2B6E6B22" w14:textId="77777777" w:rsidTr="007C69EE">
        <w:trPr>
          <w:trHeight w:val="288"/>
        </w:trPr>
        <w:tc>
          <w:tcPr>
            <w:tcW w:w="2345" w:type="dxa"/>
            <w:gridSpan w:val="2"/>
            <w:tcBorders>
              <w:top w:val="nil"/>
              <w:left w:val="nil"/>
              <w:bottom w:val="nil"/>
              <w:right w:val="nil"/>
            </w:tcBorders>
            <w:shd w:val="clear" w:color="auto" w:fill="auto"/>
            <w:noWrap/>
            <w:vAlign w:val="bottom"/>
            <w:hideMark/>
          </w:tcPr>
          <w:p w14:paraId="2CAFBECC"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b/>
                <w:color w:val="000000"/>
                <w:sz w:val="16"/>
                <w:szCs w:val="16"/>
                <w:lang w:eastAsia="en-GB"/>
              </w:rPr>
            </w:pPr>
            <w:r w:rsidRPr="002A394A">
              <w:rPr>
                <w:rFonts w:eastAsia="Times New Roman" w:cstheme="minorHAnsi"/>
                <w:b/>
                <w:color w:val="000000"/>
                <w:sz w:val="16"/>
                <w:szCs w:val="16"/>
                <w:lang w:eastAsia="en-GB"/>
              </w:rPr>
              <w:t>Diluted EPS</w:t>
            </w:r>
          </w:p>
        </w:tc>
        <w:tc>
          <w:tcPr>
            <w:tcW w:w="1766" w:type="dxa"/>
            <w:tcBorders>
              <w:top w:val="nil"/>
              <w:left w:val="nil"/>
              <w:bottom w:val="nil"/>
              <w:right w:val="nil"/>
            </w:tcBorders>
            <w:shd w:val="clear" w:color="auto" w:fill="auto"/>
            <w:noWrap/>
            <w:vAlign w:val="bottom"/>
            <w:hideMark/>
          </w:tcPr>
          <w:p w14:paraId="6D377146" w14:textId="77777777" w:rsidR="00887F65" w:rsidRPr="002A394A" w:rsidRDefault="00887F65" w:rsidP="00887F65">
            <w:pPr>
              <w:keepLines/>
              <w:widowControl w:val="0"/>
              <w:autoSpaceDE w:val="0"/>
              <w:autoSpaceDN w:val="0"/>
              <w:adjustRightInd w:val="0"/>
              <w:spacing w:after="0" w:line="240" w:lineRule="auto"/>
              <w:ind w:left="-142"/>
              <w:rPr>
                <w:rFonts w:eastAsia="Times New Roman" w:cstheme="minorHAnsi"/>
                <w:color w:val="000000"/>
                <w:sz w:val="16"/>
                <w:szCs w:val="16"/>
                <w:lang w:eastAsia="en-GB"/>
              </w:rPr>
            </w:pPr>
          </w:p>
        </w:tc>
        <w:tc>
          <w:tcPr>
            <w:tcW w:w="1559" w:type="dxa"/>
            <w:tcBorders>
              <w:top w:val="nil"/>
              <w:left w:val="nil"/>
              <w:right w:val="nil"/>
            </w:tcBorders>
            <w:shd w:val="clear" w:color="auto" w:fill="auto"/>
            <w:noWrap/>
            <w:vAlign w:val="bottom"/>
            <w:hideMark/>
          </w:tcPr>
          <w:p w14:paraId="03016A1E"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284" w:type="dxa"/>
            <w:tcBorders>
              <w:top w:val="nil"/>
              <w:left w:val="nil"/>
              <w:bottom w:val="nil"/>
              <w:right w:val="nil"/>
            </w:tcBorders>
            <w:shd w:val="clear" w:color="auto" w:fill="auto"/>
            <w:noWrap/>
            <w:vAlign w:val="bottom"/>
            <w:hideMark/>
          </w:tcPr>
          <w:p w14:paraId="6850B2B9"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1505" w:type="dxa"/>
            <w:tcBorders>
              <w:top w:val="nil"/>
              <w:left w:val="nil"/>
              <w:right w:val="nil"/>
            </w:tcBorders>
            <w:shd w:val="clear" w:color="auto" w:fill="auto"/>
            <w:noWrap/>
            <w:vAlign w:val="bottom"/>
            <w:hideMark/>
          </w:tcPr>
          <w:p w14:paraId="7AE55B64"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c>
          <w:tcPr>
            <w:tcW w:w="338" w:type="dxa"/>
            <w:tcBorders>
              <w:top w:val="nil"/>
              <w:left w:val="nil"/>
              <w:bottom w:val="nil"/>
              <w:right w:val="nil"/>
            </w:tcBorders>
            <w:shd w:val="clear" w:color="auto" w:fill="auto"/>
            <w:noWrap/>
            <w:vAlign w:val="bottom"/>
            <w:hideMark/>
          </w:tcPr>
          <w:p w14:paraId="4BF009A8"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1402" w:type="dxa"/>
            <w:tcBorders>
              <w:top w:val="nil"/>
              <w:left w:val="nil"/>
              <w:right w:val="nil"/>
            </w:tcBorders>
            <w:shd w:val="clear" w:color="auto" w:fill="auto"/>
            <w:noWrap/>
            <w:vAlign w:val="bottom"/>
            <w:hideMark/>
          </w:tcPr>
          <w:p w14:paraId="52AF5576"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p>
        </w:tc>
      </w:tr>
      <w:tr w:rsidR="00887F65" w:rsidRPr="002A394A" w14:paraId="664789CA" w14:textId="77777777" w:rsidTr="007C69EE">
        <w:trPr>
          <w:trHeight w:val="288"/>
        </w:trPr>
        <w:tc>
          <w:tcPr>
            <w:tcW w:w="4111" w:type="dxa"/>
            <w:gridSpan w:val="3"/>
            <w:tcBorders>
              <w:top w:val="nil"/>
              <w:left w:val="nil"/>
              <w:bottom w:val="nil"/>
              <w:right w:val="nil"/>
            </w:tcBorders>
            <w:shd w:val="clear" w:color="auto" w:fill="auto"/>
            <w:noWrap/>
            <w:vAlign w:val="bottom"/>
            <w:hideMark/>
          </w:tcPr>
          <w:p w14:paraId="4610B3F8" w14:textId="77777777" w:rsidR="00887F65" w:rsidRPr="002A394A" w:rsidRDefault="00887F65" w:rsidP="00887F65">
            <w:pPr>
              <w:keepLines/>
              <w:widowControl w:val="0"/>
              <w:autoSpaceDE w:val="0"/>
              <w:autoSpaceDN w:val="0"/>
              <w:adjustRightInd w:val="0"/>
              <w:spacing w:after="0" w:line="240" w:lineRule="auto"/>
              <w:rPr>
                <w:rFonts w:eastAsia="Times New Roman" w:cstheme="minorHAnsi"/>
                <w:color w:val="000000"/>
                <w:sz w:val="16"/>
                <w:szCs w:val="16"/>
                <w:lang w:eastAsia="en-GB"/>
              </w:rPr>
            </w:pPr>
            <w:r w:rsidRPr="002A394A">
              <w:rPr>
                <w:rFonts w:eastAsia="Times New Roman" w:cstheme="minorHAnsi"/>
                <w:color w:val="000000"/>
                <w:sz w:val="16"/>
                <w:szCs w:val="16"/>
                <w:lang w:eastAsia="en-GB"/>
              </w:rPr>
              <w:t>Adjusted earnings</w:t>
            </w:r>
          </w:p>
        </w:tc>
        <w:tc>
          <w:tcPr>
            <w:tcW w:w="1559" w:type="dxa"/>
            <w:tcBorders>
              <w:top w:val="nil"/>
              <w:left w:val="nil"/>
              <w:bottom w:val="double" w:sz="4" w:space="0" w:color="auto"/>
              <w:right w:val="nil"/>
            </w:tcBorders>
            <w:shd w:val="clear" w:color="auto" w:fill="auto"/>
            <w:noWrap/>
            <w:vAlign w:val="bottom"/>
            <w:hideMark/>
          </w:tcPr>
          <w:p w14:paraId="09D508EA" w14:textId="2EF7A53C" w:rsidR="00887F65" w:rsidRPr="002A394A" w:rsidRDefault="00045587"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r>
              <w:rPr>
                <w:rFonts w:eastAsia="Times New Roman" w:cstheme="minorHAnsi"/>
                <w:color w:val="000000"/>
                <w:sz w:val="16"/>
                <w:szCs w:val="16"/>
                <w:lang w:eastAsia="en-GB"/>
              </w:rPr>
              <w:t>921</w:t>
            </w:r>
          </w:p>
        </w:tc>
        <w:tc>
          <w:tcPr>
            <w:tcW w:w="284" w:type="dxa"/>
            <w:tcBorders>
              <w:top w:val="nil"/>
              <w:left w:val="nil"/>
              <w:bottom w:val="nil"/>
              <w:right w:val="nil"/>
            </w:tcBorders>
            <w:shd w:val="clear" w:color="auto" w:fill="auto"/>
            <w:noWrap/>
            <w:vAlign w:val="bottom"/>
            <w:hideMark/>
          </w:tcPr>
          <w:p w14:paraId="4CC3A7FD"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1505" w:type="dxa"/>
            <w:tcBorders>
              <w:top w:val="nil"/>
              <w:left w:val="nil"/>
              <w:bottom w:val="double" w:sz="4" w:space="0" w:color="auto"/>
              <w:right w:val="nil"/>
            </w:tcBorders>
            <w:shd w:val="clear" w:color="auto" w:fill="auto"/>
            <w:noWrap/>
            <w:vAlign w:val="bottom"/>
            <w:hideMark/>
          </w:tcPr>
          <w:p w14:paraId="09106A7B" w14:textId="5204F0C4" w:rsidR="00887F65" w:rsidRPr="002A394A" w:rsidRDefault="000B4A4A"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r w:rsidRPr="002A394A">
              <w:rPr>
                <w:rFonts w:eastAsia="Times New Roman" w:cstheme="minorHAnsi"/>
                <w:color w:val="000000"/>
                <w:sz w:val="16"/>
                <w:szCs w:val="16"/>
                <w:lang w:eastAsia="en-GB"/>
              </w:rPr>
              <w:t>91</w:t>
            </w:r>
            <w:r w:rsidR="00045587">
              <w:rPr>
                <w:rFonts w:eastAsia="Times New Roman" w:cstheme="minorHAnsi"/>
                <w:color w:val="000000"/>
                <w:sz w:val="16"/>
                <w:szCs w:val="16"/>
                <w:lang w:eastAsia="en-GB"/>
              </w:rPr>
              <w:t>2,512,704</w:t>
            </w:r>
          </w:p>
        </w:tc>
        <w:tc>
          <w:tcPr>
            <w:tcW w:w="338" w:type="dxa"/>
            <w:tcBorders>
              <w:top w:val="nil"/>
              <w:left w:val="nil"/>
              <w:bottom w:val="nil"/>
              <w:right w:val="nil"/>
            </w:tcBorders>
            <w:shd w:val="clear" w:color="auto" w:fill="auto"/>
            <w:noWrap/>
            <w:vAlign w:val="bottom"/>
            <w:hideMark/>
          </w:tcPr>
          <w:p w14:paraId="55D1B4CB" w14:textId="77777777" w:rsidR="00887F65" w:rsidRPr="002A394A" w:rsidRDefault="00887F65"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p>
        </w:tc>
        <w:tc>
          <w:tcPr>
            <w:tcW w:w="1402" w:type="dxa"/>
            <w:tcBorders>
              <w:top w:val="nil"/>
              <w:left w:val="nil"/>
              <w:bottom w:val="double" w:sz="4" w:space="0" w:color="auto"/>
              <w:right w:val="nil"/>
            </w:tcBorders>
            <w:shd w:val="clear" w:color="auto" w:fill="auto"/>
            <w:noWrap/>
            <w:vAlign w:val="bottom"/>
            <w:hideMark/>
          </w:tcPr>
          <w:p w14:paraId="6911ADDB" w14:textId="26CFBD29" w:rsidR="00887F65" w:rsidRPr="002A394A" w:rsidRDefault="00FC10D6" w:rsidP="00887F65">
            <w:pPr>
              <w:keepLines/>
              <w:widowControl w:val="0"/>
              <w:autoSpaceDE w:val="0"/>
              <w:autoSpaceDN w:val="0"/>
              <w:adjustRightInd w:val="0"/>
              <w:spacing w:after="0" w:line="240" w:lineRule="auto"/>
              <w:jc w:val="right"/>
              <w:rPr>
                <w:rFonts w:eastAsia="Times New Roman" w:cstheme="minorHAnsi"/>
                <w:color w:val="000000"/>
                <w:sz w:val="16"/>
                <w:szCs w:val="16"/>
                <w:lang w:eastAsia="en-GB"/>
              </w:rPr>
            </w:pPr>
            <w:r w:rsidRPr="002A394A">
              <w:rPr>
                <w:rFonts w:eastAsia="Times New Roman" w:cstheme="minorHAnsi"/>
                <w:color w:val="000000"/>
                <w:sz w:val="16"/>
                <w:szCs w:val="16"/>
                <w:lang w:eastAsia="en-GB"/>
              </w:rPr>
              <w:t>1.</w:t>
            </w:r>
            <w:r w:rsidR="00045587">
              <w:rPr>
                <w:rFonts w:eastAsia="Times New Roman" w:cstheme="minorHAnsi"/>
                <w:color w:val="000000"/>
                <w:sz w:val="16"/>
                <w:szCs w:val="16"/>
                <w:lang w:eastAsia="en-GB"/>
              </w:rPr>
              <w:t>00</w:t>
            </w:r>
          </w:p>
        </w:tc>
      </w:tr>
    </w:tbl>
    <w:p w14:paraId="617E056A" w14:textId="77777777" w:rsidR="00887F65" w:rsidRPr="002A394A" w:rsidRDefault="00887F65" w:rsidP="00887F65">
      <w:pPr>
        <w:widowControl w:val="0"/>
        <w:tabs>
          <w:tab w:val="left" w:pos="1543"/>
        </w:tabs>
        <w:autoSpaceDE w:val="0"/>
        <w:autoSpaceDN w:val="0"/>
        <w:adjustRightInd w:val="0"/>
        <w:spacing w:after="0" w:line="240" w:lineRule="auto"/>
        <w:ind w:left="1543" w:right="941"/>
        <w:jc w:val="both"/>
        <w:rPr>
          <w:rFonts w:eastAsia="Times New Roman" w:cstheme="minorHAnsi"/>
          <w:color w:val="000000"/>
          <w:lang w:eastAsia="en-GB"/>
        </w:rPr>
      </w:pPr>
    </w:p>
    <w:p w14:paraId="3AA29717" w14:textId="77777777" w:rsidR="00887F65" w:rsidRPr="002A394A" w:rsidRDefault="00887F65" w:rsidP="00887F65">
      <w:pPr>
        <w:widowControl w:val="0"/>
        <w:tabs>
          <w:tab w:val="left" w:pos="1543"/>
        </w:tabs>
        <w:autoSpaceDE w:val="0"/>
        <w:autoSpaceDN w:val="0"/>
        <w:adjustRightInd w:val="0"/>
        <w:spacing w:after="0" w:line="240" w:lineRule="auto"/>
        <w:ind w:right="941"/>
        <w:jc w:val="both"/>
        <w:rPr>
          <w:rFonts w:eastAsia="Times New Roman" w:cstheme="minorHAnsi"/>
          <w:color w:val="000000"/>
          <w:lang w:eastAsia="en-GB"/>
        </w:rPr>
      </w:pPr>
    </w:p>
    <w:p w14:paraId="0A8B1032" w14:textId="01E40CCC" w:rsidR="00887F65" w:rsidRPr="002A394A" w:rsidRDefault="00887F65" w:rsidP="001742B6">
      <w:pPr>
        <w:pStyle w:val="ListParagraph"/>
        <w:widowControl w:val="0"/>
        <w:numPr>
          <w:ilvl w:val="0"/>
          <w:numId w:val="25"/>
        </w:numPr>
        <w:tabs>
          <w:tab w:val="left" w:pos="941"/>
          <w:tab w:val="left" w:pos="1542"/>
        </w:tabs>
        <w:autoSpaceDE w:val="0"/>
        <w:autoSpaceDN w:val="0"/>
        <w:adjustRightInd w:val="0"/>
        <w:spacing w:after="0" w:line="240" w:lineRule="auto"/>
        <w:ind w:left="284" w:right="941"/>
        <w:rPr>
          <w:rFonts w:eastAsia="Times New Roman" w:cstheme="minorHAnsi"/>
          <w:b/>
          <w:bCs/>
          <w:color w:val="000000"/>
          <w:lang w:eastAsia="en-GB"/>
        </w:rPr>
      </w:pPr>
      <w:r w:rsidRPr="002A394A">
        <w:rPr>
          <w:rFonts w:eastAsia="Times New Roman" w:cstheme="minorHAnsi"/>
          <w:b/>
          <w:bCs/>
          <w:color w:val="000000"/>
          <w:lang w:eastAsia="en-GB"/>
        </w:rPr>
        <w:t>PUBLICATION OF NON-STATUTORY ACCOUNTS</w:t>
      </w:r>
    </w:p>
    <w:p w14:paraId="13F9028B" w14:textId="77777777" w:rsidR="00887F65" w:rsidRPr="002A394A" w:rsidRDefault="00887F65" w:rsidP="00887F65">
      <w:pPr>
        <w:widowControl w:val="0"/>
        <w:tabs>
          <w:tab w:val="left" w:pos="941"/>
        </w:tabs>
        <w:autoSpaceDE w:val="0"/>
        <w:autoSpaceDN w:val="0"/>
        <w:adjustRightInd w:val="0"/>
        <w:spacing w:after="0" w:line="240" w:lineRule="auto"/>
        <w:ind w:left="941" w:right="941"/>
        <w:rPr>
          <w:rFonts w:eastAsia="Times New Roman" w:cstheme="minorHAnsi"/>
          <w:color w:val="000000"/>
          <w:lang w:eastAsia="en-GB"/>
        </w:rPr>
      </w:pPr>
    </w:p>
    <w:p w14:paraId="5E5A0CC9" w14:textId="4C82F162" w:rsidR="00887F65" w:rsidRPr="00CF3288" w:rsidRDefault="00887F65" w:rsidP="00F52CFF">
      <w:pPr>
        <w:widowControl w:val="0"/>
        <w:tabs>
          <w:tab w:val="left" w:pos="0"/>
        </w:tabs>
        <w:autoSpaceDE w:val="0"/>
        <w:autoSpaceDN w:val="0"/>
        <w:adjustRightInd w:val="0"/>
        <w:spacing w:after="0" w:line="240" w:lineRule="auto"/>
        <w:ind w:right="95"/>
        <w:jc w:val="both"/>
        <w:rPr>
          <w:rFonts w:eastAsia="Times New Roman" w:cstheme="minorHAnsi"/>
          <w:color w:val="000000"/>
          <w:lang w:eastAsia="en-GB"/>
        </w:rPr>
      </w:pPr>
      <w:r w:rsidRPr="002A394A">
        <w:rPr>
          <w:rFonts w:eastAsia="Times New Roman" w:cstheme="minorHAnsi"/>
          <w:color w:val="000000"/>
          <w:lang w:eastAsia="en-GB"/>
        </w:rPr>
        <w:t>The financial information set out in this announcement does not comprise the Group’s statutory accounts for the years ended 31 May 20</w:t>
      </w:r>
      <w:r w:rsidR="004E34FA" w:rsidRPr="002A394A">
        <w:rPr>
          <w:rFonts w:eastAsia="Times New Roman" w:cstheme="minorHAnsi"/>
          <w:color w:val="000000"/>
          <w:lang w:eastAsia="en-GB"/>
        </w:rPr>
        <w:t>2</w:t>
      </w:r>
      <w:r w:rsidR="003D68FC">
        <w:rPr>
          <w:rFonts w:eastAsia="Times New Roman" w:cstheme="minorHAnsi"/>
          <w:color w:val="000000"/>
          <w:lang w:eastAsia="en-GB"/>
        </w:rPr>
        <w:t>3</w:t>
      </w:r>
      <w:r w:rsidRPr="002A394A">
        <w:rPr>
          <w:rFonts w:eastAsia="Times New Roman" w:cstheme="minorHAnsi"/>
          <w:color w:val="000000"/>
          <w:lang w:eastAsia="en-GB"/>
        </w:rPr>
        <w:t xml:space="preserve"> and 31 May 20</w:t>
      </w:r>
      <w:r w:rsidR="00901E18" w:rsidRPr="002A394A">
        <w:rPr>
          <w:rFonts w:eastAsia="Times New Roman" w:cstheme="minorHAnsi"/>
          <w:color w:val="000000"/>
          <w:lang w:eastAsia="en-GB"/>
        </w:rPr>
        <w:t>2</w:t>
      </w:r>
      <w:r w:rsidR="00045587">
        <w:rPr>
          <w:rFonts w:eastAsia="Times New Roman" w:cstheme="minorHAnsi"/>
          <w:color w:val="000000"/>
          <w:lang w:eastAsia="en-GB"/>
        </w:rPr>
        <w:t>2</w:t>
      </w:r>
      <w:r w:rsidRPr="002A394A">
        <w:rPr>
          <w:rFonts w:eastAsia="Times New Roman" w:cstheme="minorHAnsi"/>
          <w:color w:val="000000"/>
          <w:lang w:eastAsia="en-GB"/>
        </w:rPr>
        <w:t>. The financial information has been extracted from the statutory accounts of the Group for the years ended 31 May 20</w:t>
      </w:r>
      <w:r w:rsidR="004E34FA" w:rsidRPr="002A394A">
        <w:rPr>
          <w:rFonts w:eastAsia="Times New Roman" w:cstheme="minorHAnsi"/>
          <w:color w:val="000000"/>
          <w:lang w:eastAsia="en-GB"/>
        </w:rPr>
        <w:t>2</w:t>
      </w:r>
      <w:r w:rsidR="003D68FC">
        <w:rPr>
          <w:rFonts w:eastAsia="Times New Roman" w:cstheme="minorHAnsi"/>
          <w:color w:val="000000"/>
          <w:lang w:eastAsia="en-GB"/>
        </w:rPr>
        <w:t>3</w:t>
      </w:r>
      <w:r w:rsidRPr="002A394A">
        <w:rPr>
          <w:rFonts w:eastAsia="Times New Roman" w:cstheme="minorHAnsi"/>
          <w:color w:val="000000"/>
          <w:lang w:eastAsia="en-GB"/>
        </w:rPr>
        <w:t xml:space="preserve"> and 31 May 20</w:t>
      </w:r>
      <w:r w:rsidR="00901E18" w:rsidRPr="002A394A">
        <w:rPr>
          <w:rFonts w:eastAsia="Times New Roman" w:cstheme="minorHAnsi"/>
          <w:color w:val="000000"/>
          <w:lang w:eastAsia="en-GB"/>
        </w:rPr>
        <w:t>2</w:t>
      </w:r>
      <w:r w:rsidR="003D68FC">
        <w:rPr>
          <w:rFonts w:eastAsia="Times New Roman" w:cstheme="minorHAnsi"/>
          <w:color w:val="000000"/>
          <w:lang w:eastAsia="en-GB"/>
        </w:rPr>
        <w:t>2</w:t>
      </w:r>
      <w:r w:rsidRPr="002A394A">
        <w:rPr>
          <w:rFonts w:eastAsia="Times New Roman" w:cstheme="minorHAnsi"/>
          <w:color w:val="000000"/>
          <w:lang w:eastAsia="en-GB"/>
        </w:rPr>
        <w:t>.</w:t>
      </w:r>
      <w:r w:rsidR="00045587">
        <w:rPr>
          <w:rFonts w:eastAsia="Times New Roman" w:cstheme="minorHAnsi"/>
          <w:color w:val="000000"/>
          <w:lang w:eastAsia="en-GB"/>
        </w:rPr>
        <w:t xml:space="preserve"> </w:t>
      </w:r>
      <w:r w:rsidRPr="002A394A">
        <w:rPr>
          <w:rFonts w:eastAsia="Times New Roman" w:cstheme="minorHAnsi"/>
          <w:color w:val="000000"/>
          <w:lang w:eastAsia="en-GB"/>
        </w:rPr>
        <w:t>The</w:t>
      </w:r>
      <w:r w:rsidRPr="00CF3288">
        <w:rPr>
          <w:rFonts w:eastAsia="Times New Roman" w:cstheme="minorHAnsi"/>
          <w:color w:val="000000"/>
          <w:lang w:eastAsia="en-GB"/>
        </w:rPr>
        <w:t xml:space="preserve"> auditors’ opinion on those accounts was unmodified and did not contain a statement under section 498 (1) or 498 (3) Companies Act 2006 and did not </w:t>
      </w:r>
      <w:r w:rsidR="00F52CFF" w:rsidRPr="00CF3288">
        <w:rPr>
          <w:rFonts w:eastAsia="Times New Roman" w:cstheme="minorHAnsi"/>
          <w:color w:val="000000"/>
          <w:lang w:eastAsia="en-GB"/>
        </w:rPr>
        <w:t xml:space="preserve">include </w:t>
      </w:r>
      <w:r w:rsidRPr="00CF3288">
        <w:rPr>
          <w:rFonts w:eastAsia="Times New Roman" w:cstheme="minorHAnsi"/>
          <w:color w:val="000000"/>
          <w:lang w:eastAsia="en-GB"/>
        </w:rPr>
        <w:t>references to any matters to which the auditor drew attention by the way of emphasis.</w:t>
      </w:r>
      <w:r w:rsidR="00045587">
        <w:rPr>
          <w:rFonts w:eastAsia="Times New Roman" w:cstheme="minorHAnsi"/>
          <w:color w:val="000000"/>
          <w:lang w:eastAsia="en-GB"/>
        </w:rPr>
        <w:t xml:space="preserve"> </w:t>
      </w:r>
      <w:r w:rsidRPr="00CF3288">
        <w:rPr>
          <w:rFonts w:eastAsia="Times New Roman" w:cstheme="minorHAnsi"/>
          <w:color w:val="000000"/>
          <w:lang w:eastAsia="en-GB"/>
        </w:rPr>
        <w:t>The statutory accounts for the year ended 31 May 20</w:t>
      </w:r>
      <w:r w:rsidR="00901E18" w:rsidRPr="00CF3288">
        <w:rPr>
          <w:rFonts w:eastAsia="Times New Roman" w:cstheme="minorHAnsi"/>
          <w:color w:val="000000"/>
          <w:lang w:eastAsia="en-GB"/>
        </w:rPr>
        <w:t>2</w:t>
      </w:r>
      <w:r w:rsidR="003D68FC">
        <w:rPr>
          <w:rFonts w:eastAsia="Times New Roman" w:cstheme="minorHAnsi"/>
          <w:color w:val="000000"/>
          <w:lang w:eastAsia="en-GB"/>
        </w:rPr>
        <w:t>2</w:t>
      </w:r>
      <w:r w:rsidRPr="00CF3288">
        <w:rPr>
          <w:rFonts w:eastAsia="Times New Roman" w:cstheme="minorHAnsi"/>
          <w:color w:val="000000"/>
          <w:lang w:eastAsia="en-GB"/>
        </w:rPr>
        <w:t xml:space="preserve"> have been delivered to the Registrar of Companies. Those for the year ended 31 May 20</w:t>
      </w:r>
      <w:r w:rsidR="004E34FA" w:rsidRPr="00CF3288">
        <w:rPr>
          <w:rFonts w:eastAsia="Times New Roman" w:cstheme="minorHAnsi"/>
          <w:color w:val="000000"/>
          <w:lang w:eastAsia="en-GB"/>
        </w:rPr>
        <w:t>2</w:t>
      </w:r>
      <w:r w:rsidR="003D68FC">
        <w:rPr>
          <w:rFonts w:eastAsia="Times New Roman" w:cstheme="minorHAnsi"/>
          <w:color w:val="000000"/>
          <w:lang w:eastAsia="en-GB"/>
        </w:rPr>
        <w:t>3</w:t>
      </w:r>
      <w:r w:rsidRPr="00CF3288">
        <w:rPr>
          <w:rFonts w:eastAsia="Times New Roman" w:cstheme="minorHAnsi"/>
          <w:color w:val="000000"/>
          <w:lang w:eastAsia="en-GB"/>
        </w:rPr>
        <w:t xml:space="preserve"> will be delivered to the Registrar of Companies following the Company’s Annual General Meeting.</w:t>
      </w:r>
    </w:p>
    <w:p w14:paraId="1EFC8C05" w14:textId="77777777" w:rsidR="00887F65" w:rsidRDefault="00887F65" w:rsidP="00887F65">
      <w:pPr>
        <w:widowControl w:val="0"/>
        <w:tabs>
          <w:tab w:val="left" w:pos="1543"/>
        </w:tabs>
        <w:autoSpaceDE w:val="0"/>
        <w:autoSpaceDN w:val="0"/>
        <w:adjustRightInd w:val="0"/>
        <w:spacing w:after="0" w:line="240" w:lineRule="auto"/>
        <w:ind w:right="941"/>
        <w:jc w:val="both"/>
        <w:rPr>
          <w:rFonts w:eastAsia="Times New Roman" w:cstheme="minorHAnsi"/>
          <w:color w:val="000000"/>
          <w:lang w:eastAsia="en-GB"/>
        </w:rPr>
      </w:pPr>
    </w:p>
    <w:p w14:paraId="51570ADC" w14:textId="77777777" w:rsidR="004C15FD" w:rsidRPr="004C15FD" w:rsidRDefault="004C15FD" w:rsidP="00887F65">
      <w:pPr>
        <w:widowControl w:val="0"/>
        <w:tabs>
          <w:tab w:val="left" w:pos="1543"/>
        </w:tabs>
        <w:autoSpaceDE w:val="0"/>
        <w:autoSpaceDN w:val="0"/>
        <w:adjustRightInd w:val="0"/>
        <w:spacing w:after="0" w:line="240" w:lineRule="auto"/>
        <w:ind w:right="941"/>
        <w:jc w:val="both"/>
        <w:rPr>
          <w:rFonts w:eastAsia="Times New Roman" w:cstheme="minorHAnsi"/>
          <w:color w:val="000000"/>
          <w:lang w:eastAsia="en-GB"/>
        </w:rPr>
      </w:pPr>
    </w:p>
    <w:p w14:paraId="59944DDE" w14:textId="19907360" w:rsidR="00887F65" w:rsidRPr="004C15FD" w:rsidRDefault="00887F65" w:rsidP="00F52CFF">
      <w:pPr>
        <w:pStyle w:val="ListParagraph"/>
        <w:widowControl w:val="0"/>
        <w:numPr>
          <w:ilvl w:val="0"/>
          <w:numId w:val="25"/>
        </w:numPr>
        <w:tabs>
          <w:tab w:val="left" w:pos="941"/>
          <w:tab w:val="left" w:pos="1542"/>
        </w:tabs>
        <w:autoSpaceDE w:val="0"/>
        <w:autoSpaceDN w:val="0"/>
        <w:adjustRightInd w:val="0"/>
        <w:spacing w:after="0" w:line="240" w:lineRule="auto"/>
        <w:ind w:left="284" w:right="941" w:hanging="284"/>
        <w:rPr>
          <w:rFonts w:eastAsia="Times New Roman" w:cstheme="minorHAnsi"/>
          <w:b/>
          <w:bCs/>
          <w:color w:val="000000"/>
          <w:lang w:eastAsia="en-GB"/>
        </w:rPr>
      </w:pPr>
      <w:r w:rsidRPr="004C15FD">
        <w:rPr>
          <w:rFonts w:eastAsia="Times New Roman" w:cstheme="minorHAnsi"/>
          <w:b/>
          <w:bCs/>
          <w:color w:val="000000"/>
          <w:lang w:eastAsia="en-GB"/>
        </w:rPr>
        <w:t>ANNUAL REPORT AND ANNUAL GENERAL MEETING</w:t>
      </w:r>
    </w:p>
    <w:p w14:paraId="297C2460" w14:textId="77777777" w:rsidR="00887F65" w:rsidRPr="004C15FD" w:rsidRDefault="00887F65" w:rsidP="00887F65">
      <w:pPr>
        <w:widowControl w:val="0"/>
        <w:tabs>
          <w:tab w:val="left" w:pos="941"/>
        </w:tabs>
        <w:autoSpaceDE w:val="0"/>
        <w:autoSpaceDN w:val="0"/>
        <w:adjustRightInd w:val="0"/>
        <w:spacing w:after="0" w:line="240" w:lineRule="auto"/>
        <w:ind w:left="941" w:right="941"/>
        <w:rPr>
          <w:rFonts w:eastAsia="Times New Roman" w:cstheme="minorHAnsi"/>
          <w:color w:val="000000"/>
          <w:lang w:eastAsia="en-GB"/>
        </w:rPr>
      </w:pPr>
    </w:p>
    <w:p w14:paraId="1A8C51D7" w14:textId="17B489FF" w:rsidR="00887F65" w:rsidRPr="00F165FF" w:rsidRDefault="00887F65" w:rsidP="00F52CFF">
      <w:pPr>
        <w:widowControl w:val="0"/>
        <w:tabs>
          <w:tab w:val="left" w:pos="1543"/>
        </w:tabs>
        <w:autoSpaceDE w:val="0"/>
        <w:autoSpaceDN w:val="0"/>
        <w:adjustRightInd w:val="0"/>
        <w:spacing w:after="0" w:line="240" w:lineRule="auto"/>
        <w:ind w:right="-46"/>
        <w:jc w:val="both"/>
        <w:rPr>
          <w:rFonts w:eastAsia="Times New Roman" w:cstheme="minorHAnsi"/>
          <w:color w:val="000000"/>
          <w:lang w:eastAsia="en-GB"/>
        </w:rPr>
      </w:pPr>
      <w:r w:rsidRPr="004C15FD">
        <w:rPr>
          <w:rFonts w:eastAsia="Times New Roman" w:cstheme="minorHAnsi"/>
          <w:color w:val="000000"/>
          <w:lang w:eastAsia="en-GB"/>
        </w:rPr>
        <w:t xml:space="preserve">The Annual Report </w:t>
      </w:r>
      <w:r w:rsidR="00F52CFF" w:rsidRPr="004C15FD">
        <w:rPr>
          <w:rFonts w:eastAsia="Times New Roman" w:cstheme="minorHAnsi"/>
          <w:color w:val="000000"/>
          <w:lang w:eastAsia="en-GB"/>
        </w:rPr>
        <w:t xml:space="preserve">and Accounts </w:t>
      </w:r>
      <w:r w:rsidRPr="004C15FD">
        <w:rPr>
          <w:rFonts w:eastAsia="Times New Roman" w:cstheme="minorHAnsi"/>
          <w:color w:val="000000"/>
          <w:lang w:eastAsia="en-GB"/>
        </w:rPr>
        <w:t>will be available from the Company’s website,</w:t>
      </w:r>
      <w:r w:rsidR="00901E18" w:rsidRPr="004C15FD">
        <w:rPr>
          <w:rFonts w:eastAsia="Times New Roman" w:cstheme="minorHAnsi"/>
          <w:color w:val="000000"/>
          <w:lang w:eastAsia="en-GB"/>
        </w:rPr>
        <w:t xml:space="preserve"> </w:t>
      </w:r>
      <w:hyperlink r:id="rId15" w:history="1">
        <w:r w:rsidR="00901E18" w:rsidRPr="004C15FD">
          <w:rPr>
            <w:rStyle w:val="Hyperlink"/>
            <w:rFonts w:eastAsia="Times New Roman" w:cstheme="minorHAnsi"/>
            <w:lang w:eastAsia="en-GB"/>
          </w:rPr>
          <w:t>www.timefinance.com</w:t>
        </w:r>
      </w:hyperlink>
      <w:r w:rsidRPr="004C15FD">
        <w:rPr>
          <w:rFonts w:eastAsia="Times New Roman" w:cstheme="minorHAnsi"/>
          <w:color w:val="000000"/>
          <w:lang w:eastAsia="en-GB"/>
        </w:rPr>
        <w:t xml:space="preserve">, from </w:t>
      </w:r>
      <w:r w:rsidR="00F52CFF" w:rsidRPr="004C15FD">
        <w:rPr>
          <w:rFonts w:eastAsia="Times New Roman" w:cstheme="minorHAnsi"/>
          <w:color w:val="000000"/>
          <w:lang w:eastAsia="en-GB"/>
        </w:rPr>
        <w:t>2</w:t>
      </w:r>
      <w:r w:rsidR="003D68FC">
        <w:rPr>
          <w:rFonts w:eastAsia="Times New Roman" w:cstheme="minorHAnsi"/>
          <w:color w:val="000000"/>
          <w:lang w:eastAsia="en-GB"/>
        </w:rPr>
        <w:t>6</w:t>
      </w:r>
      <w:r w:rsidRPr="004C15FD">
        <w:rPr>
          <w:rFonts w:eastAsia="Times New Roman" w:cstheme="minorHAnsi"/>
          <w:color w:val="000000"/>
          <w:lang w:eastAsia="en-GB"/>
        </w:rPr>
        <w:t xml:space="preserve"> September 2</w:t>
      </w:r>
      <w:r w:rsidR="004E34FA" w:rsidRPr="004C15FD">
        <w:rPr>
          <w:rFonts w:eastAsia="Times New Roman" w:cstheme="minorHAnsi"/>
          <w:color w:val="000000"/>
          <w:lang w:eastAsia="en-GB"/>
        </w:rPr>
        <w:t>02</w:t>
      </w:r>
      <w:r w:rsidR="00955A02">
        <w:rPr>
          <w:rFonts w:eastAsia="Times New Roman" w:cstheme="minorHAnsi"/>
          <w:color w:val="000000"/>
          <w:lang w:eastAsia="en-GB"/>
        </w:rPr>
        <w:t>3</w:t>
      </w:r>
      <w:r w:rsidRPr="004C15FD">
        <w:rPr>
          <w:rFonts w:eastAsia="Times New Roman" w:cstheme="minorHAnsi"/>
          <w:color w:val="000000"/>
          <w:lang w:eastAsia="en-GB"/>
        </w:rPr>
        <w:t xml:space="preserve">. </w:t>
      </w:r>
      <w:r w:rsidR="00901E18" w:rsidRPr="004C15FD">
        <w:rPr>
          <w:rFonts w:eastAsia="Times New Roman" w:cstheme="minorHAnsi"/>
          <w:color w:val="000000"/>
          <w:lang w:eastAsia="en-GB"/>
        </w:rPr>
        <w:t>N</w:t>
      </w:r>
      <w:r w:rsidRPr="004C15FD">
        <w:rPr>
          <w:rFonts w:eastAsia="Times New Roman" w:cstheme="minorHAnsi"/>
          <w:color w:val="000000"/>
          <w:lang w:eastAsia="en-GB"/>
        </w:rPr>
        <w:t>otice of the Annual General Meeting</w:t>
      </w:r>
      <w:r w:rsidR="00901E18" w:rsidRPr="004C15FD">
        <w:rPr>
          <w:rFonts w:eastAsia="Times New Roman" w:cstheme="minorHAnsi"/>
          <w:color w:val="000000"/>
          <w:lang w:eastAsia="en-GB"/>
        </w:rPr>
        <w:t xml:space="preserve">, which will be held at </w:t>
      </w:r>
      <w:r w:rsidR="003F1007" w:rsidRPr="004C15FD">
        <w:rPr>
          <w:rFonts w:eastAsia="Times New Roman" w:cstheme="minorHAnsi"/>
          <w:color w:val="000000"/>
          <w:lang w:eastAsia="en-GB"/>
        </w:rPr>
        <w:t>the</w:t>
      </w:r>
      <w:r w:rsidR="00090342" w:rsidRPr="004C15FD">
        <w:rPr>
          <w:rFonts w:eastAsia="Times New Roman" w:cstheme="minorHAnsi"/>
          <w:color w:val="000000"/>
          <w:lang w:eastAsia="en-GB"/>
        </w:rPr>
        <w:t xml:space="preserve"> </w:t>
      </w:r>
      <w:r w:rsidR="00955A02">
        <w:rPr>
          <w:rFonts w:eastAsia="Times New Roman" w:cstheme="minorHAnsi"/>
          <w:color w:val="000000"/>
          <w:lang w:eastAsia="en-GB"/>
        </w:rPr>
        <w:t>Apex Hotel, Bath, BA1</w:t>
      </w:r>
      <w:r w:rsidR="008F6AA8">
        <w:rPr>
          <w:rFonts w:eastAsia="Times New Roman" w:cstheme="minorHAnsi"/>
          <w:color w:val="000000"/>
          <w:lang w:eastAsia="en-GB"/>
        </w:rPr>
        <w:t xml:space="preserve"> 2DA</w:t>
      </w:r>
      <w:r w:rsidR="00901E18" w:rsidRPr="004C15FD">
        <w:rPr>
          <w:rFonts w:eastAsia="Times New Roman" w:cstheme="minorHAnsi"/>
          <w:color w:val="000000"/>
          <w:lang w:eastAsia="en-GB"/>
        </w:rPr>
        <w:t xml:space="preserve"> on </w:t>
      </w:r>
      <w:r w:rsidR="008F6AA8">
        <w:rPr>
          <w:rFonts w:eastAsia="Times New Roman" w:cstheme="minorHAnsi"/>
          <w:color w:val="000000"/>
          <w:lang w:eastAsia="en-GB"/>
        </w:rPr>
        <w:t>7 Novem</w:t>
      </w:r>
      <w:r w:rsidR="00901E18" w:rsidRPr="004C15FD">
        <w:rPr>
          <w:rFonts w:eastAsia="Times New Roman" w:cstheme="minorHAnsi"/>
          <w:color w:val="000000"/>
          <w:lang w:eastAsia="en-GB"/>
        </w:rPr>
        <w:t>ber 202</w:t>
      </w:r>
      <w:r w:rsidR="008F6AA8">
        <w:rPr>
          <w:rFonts w:eastAsia="Times New Roman" w:cstheme="minorHAnsi"/>
          <w:color w:val="000000"/>
          <w:lang w:eastAsia="en-GB"/>
        </w:rPr>
        <w:t>3</w:t>
      </w:r>
      <w:r w:rsidR="00901E18" w:rsidRPr="004C15FD">
        <w:rPr>
          <w:rFonts w:eastAsia="Times New Roman" w:cstheme="minorHAnsi"/>
          <w:color w:val="000000"/>
          <w:lang w:eastAsia="en-GB"/>
        </w:rPr>
        <w:t xml:space="preserve"> at </w:t>
      </w:r>
      <w:r w:rsidR="008F6AA8">
        <w:rPr>
          <w:rFonts w:eastAsia="Times New Roman" w:cstheme="minorHAnsi"/>
          <w:color w:val="000000"/>
          <w:lang w:eastAsia="en-GB"/>
        </w:rPr>
        <w:t>10a</w:t>
      </w:r>
      <w:r w:rsidR="00090342" w:rsidRPr="004C15FD">
        <w:rPr>
          <w:rFonts w:eastAsia="Times New Roman" w:cstheme="minorHAnsi"/>
          <w:color w:val="000000"/>
          <w:lang w:eastAsia="en-GB"/>
        </w:rPr>
        <w:t>m</w:t>
      </w:r>
      <w:r w:rsidR="00901E18" w:rsidRPr="004C15FD">
        <w:rPr>
          <w:rFonts w:eastAsia="Times New Roman" w:cstheme="minorHAnsi"/>
          <w:color w:val="000000"/>
          <w:lang w:eastAsia="en-GB"/>
        </w:rPr>
        <w:t xml:space="preserve">, will be </w:t>
      </w:r>
      <w:r w:rsidR="00234A70">
        <w:rPr>
          <w:rFonts w:eastAsia="Times New Roman" w:cstheme="minorHAnsi"/>
          <w:color w:val="000000"/>
          <w:lang w:eastAsia="en-GB"/>
        </w:rPr>
        <w:t xml:space="preserve">communicated electronically or </w:t>
      </w:r>
      <w:r w:rsidR="00901E18" w:rsidRPr="004C15FD">
        <w:rPr>
          <w:rFonts w:eastAsia="Times New Roman" w:cstheme="minorHAnsi"/>
          <w:color w:val="000000"/>
          <w:lang w:eastAsia="en-GB"/>
        </w:rPr>
        <w:t>posted to Shareholders.</w:t>
      </w:r>
    </w:p>
    <w:p w14:paraId="5DD0DDA8" w14:textId="77777777" w:rsidR="00887F65" w:rsidRPr="00F165FF" w:rsidRDefault="00887F65" w:rsidP="000747FA">
      <w:pPr>
        <w:spacing w:after="0" w:line="240" w:lineRule="auto"/>
        <w:jc w:val="both"/>
        <w:rPr>
          <w:rFonts w:cstheme="minorHAnsi"/>
        </w:rPr>
      </w:pPr>
    </w:p>
    <w:sectPr w:rsidR="00887F65" w:rsidRPr="00F165FF" w:rsidSect="009C4E5B">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C984" w14:textId="77777777" w:rsidR="00CD6268" w:rsidRDefault="00CD6268" w:rsidP="00892ACF">
      <w:pPr>
        <w:spacing w:after="0" w:line="240" w:lineRule="auto"/>
      </w:pPr>
      <w:r>
        <w:separator/>
      </w:r>
    </w:p>
  </w:endnote>
  <w:endnote w:type="continuationSeparator" w:id="0">
    <w:p w14:paraId="21560C25" w14:textId="77777777" w:rsidR="00CD6268" w:rsidRDefault="00CD6268" w:rsidP="00892ACF">
      <w:pPr>
        <w:spacing w:after="0" w:line="240" w:lineRule="auto"/>
      </w:pPr>
      <w:r>
        <w:continuationSeparator/>
      </w:r>
    </w:p>
  </w:endnote>
  <w:endnote w:type="continuationNotice" w:id="1">
    <w:p w14:paraId="4EDD0A9E" w14:textId="77777777" w:rsidR="00CD6268" w:rsidRDefault="00CD62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6912" w14:textId="77777777" w:rsidR="00CD6268" w:rsidRDefault="00CD6268" w:rsidP="00892ACF">
      <w:pPr>
        <w:spacing w:after="0" w:line="240" w:lineRule="auto"/>
      </w:pPr>
      <w:r>
        <w:separator/>
      </w:r>
    </w:p>
  </w:footnote>
  <w:footnote w:type="continuationSeparator" w:id="0">
    <w:p w14:paraId="26E068E0" w14:textId="77777777" w:rsidR="00CD6268" w:rsidRDefault="00CD6268" w:rsidP="00892ACF">
      <w:pPr>
        <w:spacing w:after="0" w:line="240" w:lineRule="auto"/>
      </w:pPr>
      <w:r>
        <w:continuationSeparator/>
      </w:r>
    </w:p>
  </w:footnote>
  <w:footnote w:type="continuationNotice" w:id="1">
    <w:p w14:paraId="285AC756" w14:textId="77777777" w:rsidR="00CD6268" w:rsidRDefault="00CD62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D7D"/>
    <w:multiLevelType w:val="hybridMultilevel"/>
    <w:tmpl w:val="7F487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B5F86"/>
    <w:multiLevelType w:val="hybridMultilevel"/>
    <w:tmpl w:val="CD769D8E"/>
    <w:lvl w:ilvl="0" w:tplc="08090001">
      <w:start w:val="1"/>
      <w:numFmt w:val="bullet"/>
      <w:lvlText w:val=""/>
      <w:lvlJc w:val="left"/>
      <w:pPr>
        <w:ind w:left="1857" w:hanging="360"/>
      </w:pPr>
      <w:rPr>
        <w:rFonts w:ascii="Symbol" w:hAnsi="Symbol" w:hint="default"/>
      </w:rPr>
    </w:lvl>
    <w:lvl w:ilvl="1" w:tplc="08090003" w:tentative="1">
      <w:start w:val="1"/>
      <w:numFmt w:val="bullet"/>
      <w:lvlText w:val="o"/>
      <w:lvlJc w:val="left"/>
      <w:pPr>
        <w:ind w:left="2577" w:hanging="360"/>
      </w:pPr>
      <w:rPr>
        <w:rFonts w:ascii="Courier New" w:hAnsi="Courier New" w:hint="default"/>
      </w:rPr>
    </w:lvl>
    <w:lvl w:ilvl="2" w:tplc="08090005" w:tentative="1">
      <w:start w:val="1"/>
      <w:numFmt w:val="bullet"/>
      <w:lvlText w:val=""/>
      <w:lvlJc w:val="left"/>
      <w:pPr>
        <w:ind w:left="3297" w:hanging="360"/>
      </w:pPr>
      <w:rPr>
        <w:rFonts w:ascii="Wingdings" w:hAnsi="Wingdings" w:hint="default"/>
      </w:rPr>
    </w:lvl>
    <w:lvl w:ilvl="3" w:tplc="08090001" w:tentative="1">
      <w:start w:val="1"/>
      <w:numFmt w:val="bullet"/>
      <w:lvlText w:val=""/>
      <w:lvlJc w:val="left"/>
      <w:pPr>
        <w:ind w:left="4017" w:hanging="360"/>
      </w:pPr>
      <w:rPr>
        <w:rFonts w:ascii="Symbol" w:hAnsi="Symbol" w:hint="default"/>
      </w:rPr>
    </w:lvl>
    <w:lvl w:ilvl="4" w:tplc="08090003" w:tentative="1">
      <w:start w:val="1"/>
      <w:numFmt w:val="bullet"/>
      <w:lvlText w:val="o"/>
      <w:lvlJc w:val="left"/>
      <w:pPr>
        <w:ind w:left="4737" w:hanging="360"/>
      </w:pPr>
      <w:rPr>
        <w:rFonts w:ascii="Courier New" w:hAnsi="Courier New" w:hint="default"/>
      </w:rPr>
    </w:lvl>
    <w:lvl w:ilvl="5" w:tplc="08090005" w:tentative="1">
      <w:start w:val="1"/>
      <w:numFmt w:val="bullet"/>
      <w:lvlText w:val=""/>
      <w:lvlJc w:val="left"/>
      <w:pPr>
        <w:ind w:left="5457" w:hanging="360"/>
      </w:pPr>
      <w:rPr>
        <w:rFonts w:ascii="Wingdings" w:hAnsi="Wingdings" w:hint="default"/>
      </w:rPr>
    </w:lvl>
    <w:lvl w:ilvl="6" w:tplc="08090001" w:tentative="1">
      <w:start w:val="1"/>
      <w:numFmt w:val="bullet"/>
      <w:lvlText w:val=""/>
      <w:lvlJc w:val="left"/>
      <w:pPr>
        <w:ind w:left="6177" w:hanging="360"/>
      </w:pPr>
      <w:rPr>
        <w:rFonts w:ascii="Symbol" w:hAnsi="Symbol" w:hint="default"/>
      </w:rPr>
    </w:lvl>
    <w:lvl w:ilvl="7" w:tplc="08090003" w:tentative="1">
      <w:start w:val="1"/>
      <w:numFmt w:val="bullet"/>
      <w:lvlText w:val="o"/>
      <w:lvlJc w:val="left"/>
      <w:pPr>
        <w:ind w:left="6897" w:hanging="360"/>
      </w:pPr>
      <w:rPr>
        <w:rFonts w:ascii="Courier New" w:hAnsi="Courier New" w:hint="default"/>
      </w:rPr>
    </w:lvl>
    <w:lvl w:ilvl="8" w:tplc="08090005" w:tentative="1">
      <w:start w:val="1"/>
      <w:numFmt w:val="bullet"/>
      <w:lvlText w:val=""/>
      <w:lvlJc w:val="left"/>
      <w:pPr>
        <w:ind w:left="7617" w:hanging="360"/>
      </w:pPr>
      <w:rPr>
        <w:rFonts w:ascii="Wingdings" w:hAnsi="Wingdings" w:hint="default"/>
      </w:rPr>
    </w:lvl>
  </w:abstractNum>
  <w:abstractNum w:abstractNumId="2" w15:restartNumberingAfterBreak="0">
    <w:nsid w:val="0A436AF1"/>
    <w:multiLevelType w:val="hybridMultilevel"/>
    <w:tmpl w:val="056E8D8C"/>
    <w:lvl w:ilvl="0" w:tplc="9E78DB3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12EE0"/>
    <w:multiLevelType w:val="hybridMultilevel"/>
    <w:tmpl w:val="CD54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55D7C"/>
    <w:multiLevelType w:val="hybridMultilevel"/>
    <w:tmpl w:val="4180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248DA"/>
    <w:multiLevelType w:val="hybridMultilevel"/>
    <w:tmpl w:val="D9E6C9B0"/>
    <w:lvl w:ilvl="0" w:tplc="C6B49594">
      <w:start w:val="22"/>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763EE"/>
    <w:multiLevelType w:val="hybridMultilevel"/>
    <w:tmpl w:val="379CC30C"/>
    <w:lvl w:ilvl="0" w:tplc="0076040A">
      <w:start w:val="5"/>
      <w:numFmt w:val="bullet"/>
      <w:lvlText w:val="-"/>
      <w:lvlJc w:val="left"/>
      <w:pPr>
        <w:ind w:left="444" w:hanging="360"/>
      </w:pPr>
      <w:rPr>
        <w:rFonts w:ascii="Times New Roman" w:eastAsia="Times New Roman" w:hAnsi="Times New Roman" w:cs="Times New Roman" w:hint="default"/>
      </w:rPr>
    </w:lvl>
    <w:lvl w:ilvl="1" w:tplc="08090003" w:tentative="1">
      <w:start w:val="1"/>
      <w:numFmt w:val="bullet"/>
      <w:lvlText w:val="o"/>
      <w:lvlJc w:val="left"/>
      <w:pPr>
        <w:ind w:left="1164" w:hanging="360"/>
      </w:pPr>
      <w:rPr>
        <w:rFonts w:ascii="Courier New" w:hAnsi="Courier New" w:cs="Courier New" w:hint="default"/>
      </w:rPr>
    </w:lvl>
    <w:lvl w:ilvl="2" w:tplc="08090005" w:tentative="1">
      <w:start w:val="1"/>
      <w:numFmt w:val="bullet"/>
      <w:lvlText w:val=""/>
      <w:lvlJc w:val="left"/>
      <w:pPr>
        <w:ind w:left="1884" w:hanging="360"/>
      </w:pPr>
      <w:rPr>
        <w:rFonts w:ascii="Wingdings" w:hAnsi="Wingdings" w:hint="default"/>
      </w:rPr>
    </w:lvl>
    <w:lvl w:ilvl="3" w:tplc="08090001" w:tentative="1">
      <w:start w:val="1"/>
      <w:numFmt w:val="bullet"/>
      <w:lvlText w:val=""/>
      <w:lvlJc w:val="left"/>
      <w:pPr>
        <w:ind w:left="2604" w:hanging="360"/>
      </w:pPr>
      <w:rPr>
        <w:rFonts w:ascii="Symbol" w:hAnsi="Symbol" w:hint="default"/>
      </w:rPr>
    </w:lvl>
    <w:lvl w:ilvl="4" w:tplc="08090003" w:tentative="1">
      <w:start w:val="1"/>
      <w:numFmt w:val="bullet"/>
      <w:lvlText w:val="o"/>
      <w:lvlJc w:val="left"/>
      <w:pPr>
        <w:ind w:left="3324" w:hanging="360"/>
      </w:pPr>
      <w:rPr>
        <w:rFonts w:ascii="Courier New" w:hAnsi="Courier New" w:cs="Courier New" w:hint="default"/>
      </w:rPr>
    </w:lvl>
    <w:lvl w:ilvl="5" w:tplc="08090005" w:tentative="1">
      <w:start w:val="1"/>
      <w:numFmt w:val="bullet"/>
      <w:lvlText w:val=""/>
      <w:lvlJc w:val="left"/>
      <w:pPr>
        <w:ind w:left="4044" w:hanging="360"/>
      </w:pPr>
      <w:rPr>
        <w:rFonts w:ascii="Wingdings" w:hAnsi="Wingdings" w:hint="default"/>
      </w:rPr>
    </w:lvl>
    <w:lvl w:ilvl="6" w:tplc="08090001" w:tentative="1">
      <w:start w:val="1"/>
      <w:numFmt w:val="bullet"/>
      <w:lvlText w:val=""/>
      <w:lvlJc w:val="left"/>
      <w:pPr>
        <w:ind w:left="4764" w:hanging="360"/>
      </w:pPr>
      <w:rPr>
        <w:rFonts w:ascii="Symbol" w:hAnsi="Symbol" w:hint="default"/>
      </w:rPr>
    </w:lvl>
    <w:lvl w:ilvl="7" w:tplc="08090003" w:tentative="1">
      <w:start w:val="1"/>
      <w:numFmt w:val="bullet"/>
      <w:lvlText w:val="o"/>
      <w:lvlJc w:val="left"/>
      <w:pPr>
        <w:ind w:left="5484" w:hanging="360"/>
      </w:pPr>
      <w:rPr>
        <w:rFonts w:ascii="Courier New" w:hAnsi="Courier New" w:cs="Courier New" w:hint="default"/>
      </w:rPr>
    </w:lvl>
    <w:lvl w:ilvl="8" w:tplc="08090005" w:tentative="1">
      <w:start w:val="1"/>
      <w:numFmt w:val="bullet"/>
      <w:lvlText w:val=""/>
      <w:lvlJc w:val="left"/>
      <w:pPr>
        <w:ind w:left="6204" w:hanging="360"/>
      </w:pPr>
      <w:rPr>
        <w:rFonts w:ascii="Wingdings" w:hAnsi="Wingdings" w:hint="default"/>
      </w:rPr>
    </w:lvl>
  </w:abstractNum>
  <w:abstractNum w:abstractNumId="7" w15:restartNumberingAfterBreak="0">
    <w:nsid w:val="163475A2"/>
    <w:multiLevelType w:val="hybridMultilevel"/>
    <w:tmpl w:val="09B496C4"/>
    <w:lvl w:ilvl="0" w:tplc="9B02030A">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507AFA"/>
    <w:multiLevelType w:val="hybridMultilevel"/>
    <w:tmpl w:val="525E4B3E"/>
    <w:lvl w:ilvl="0" w:tplc="08090001">
      <w:start w:val="1"/>
      <w:numFmt w:val="bullet"/>
      <w:lvlText w:val=""/>
      <w:lvlJc w:val="left"/>
      <w:pPr>
        <w:ind w:left="1661" w:hanging="360"/>
      </w:pPr>
      <w:rPr>
        <w:rFonts w:ascii="Symbol" w:hAnsi="Symbol" w:hint="default"/>
      </w:rPr>
    </w:lvl>
    <w:lvl w:ilvl="1" w:tplc="08090003" w:tentative="1">
      <w:start w:val="1"/>
      <w:numFmt w:val="bullet"/>
      <w:lvlText w:val="o"/>
      <w:lvlJc w:val="left"/>
      <w:pPr>
        <w:ind w:left="2381" w:hanging="360"/>
      </w:pPr>
      <w:rPr>
        <w:rFonts w:ascii="Courier New" w:hAnsi="Courier New" w:hint="default"/>
      </w:rPr>
    </w:lvl>
    <w:lvl w:ilvl="2" w:tplc="08090005" w:tentative="1">
      <w:start w:val="1"/>
      <w:numFmt w:val="bullet"/>
      <w:lvlText w:val=""/>
      <w:lvlJc w:val="left"/>
      <w:pPr>
        <w:ind w:left="3101" w:hanging="360"/>
      </w:pPr>
      <w:rPr>
        <w:rFonts w:ascii="Wingdings" w:hAnsi="Wingdings" w:hint="default"/>
      </w:rPr>
    </w:lvl>
    <w:lvl w:ilvl="3" w:tplc="08090001" w:tentative="1">
      <w:start w:val="1"/>
      <w:numFmt w:val="bullet"/>
      <w:lvlText w:val=""/>
      <w:lvlJc w:val="left"/>
      <w:pPr>
        <w:ind w:left="3821" w:hanging="360"/>
      </w:pPr>
      <w:rPr>
        <w:rFonts w:ascii="Symbol" w:hAnsi="Symbol" w:hint="default"/>
      </w:rPr>
    </w:lvl>
    <w:lvl w:ilvl="4" w:tplc="08090003" w:tentative="1">
      <w:start w:val="1"/>
      <w:numFmt w:val="bullet"/>
      <w:lvlText w:val="o"/>
      <w:lvlJc w:val="left"/>
      <w:pPr>
        <w:ind w:left="4541" w:hanging="360"/>
      </w:pPr>
      <w:rPr>
        <w:rFonts w:ascii="Courier New" w:hAnsi="Courier New" w:hint="default"/>
      </w:rPr>
    </w:lvl>
    <w:lvl w:ilvl="5" w:tplc="08090005" w:tentative="1">
      <w:start w:val="1"/>
      <w:numFmt w:val="bullet"/>
      <w:lvlText w:val=""/>
      <w:lvlJc w:val="left"/>
      <w:pPr>
        <w:ind w:left="5261" w:hanging="360"/>
      </w:pPr>
      <w:rPr>
        <w:rFonts w:ascii="Wingdings" w:hAnsi="Wingdings" w:hint="default"/>
      </w:rPr>
    </w:lvl>
    <w:lvl w:ilvl="6" w:tplc="08090001" w:tentative="1">
      <w:start w:val="1"/>
      <w:numFmt w:val="bullet"/>
      <w:lvlText w:val=""/>
      <w:lvlJc w:val="left"/>
      <w:pPr>
        <w:ind w:left="5981" w:hanging="360"/>
      </w:pPr>
      <w:rPr>
        <w:rFonts w:ascii="Symbol" w:hAnsi="Symbol" w:hint="default"/>
      </w:rPr>
    </w:lvl>
    <w:lvl w:ilvl="7" w:tplc="08090003" w:tentative="1">
      <w:start w:val="1"/>
      <w:numFmt w:val="bullet"/>
      <w:lvlText w:val="o"/>
      <w:lvlJc w:val="left"/>
      <w:pPr>
        <w:ind w:left="6701" w:hanging="360"/>
      </w:pPr>
      <w:rPr>
        <w:rFonts w:ascii="Courier New" w:hAnsi="Courier New" w:hint="default"/>
      </w:rPr>
    </w:lvl>
    <w:lvl w:ilvl="8" w:tplc="08090005" w:tentative="1">
      <w:start w:val="1"/>
      <w:numFmt w:val="bullet"/>
      <w:lvlText w:val=""/>
      <w:lvlJc w:val="left"/>
      <w:pPr>
        <w:ind w:left="7421" w:hanging="360"/>
      </w:pPr>
      <w:rPr>
        <w:rFonts w:ascii="Wingdings" w:hAnsi="Wingdings" w:hint="default"/>
      </w:rPr>
    </w:lvl>
  </w:abstractNum>
  <w:abstractNum w:abstractNumId="9" w15:restartNumberingAfterBreak="0">
    <w:nsid w:val="1C855728"/>
    <w:multiLevelType w:val="hybridMultilevel"/>
    <w:tmpl w:val="B5E8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C1E6B"/>
    <w:multiLevelType w:val="hybridMultilevel"/>
    <w:tmpl w:val="6B3C55F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 w15:restartNumberingAfterBreak="0">
    <w:nsid w:val="1D5E68A3"/>
    <w:multiLevelType w:val="hybridMultilevel"/>
    <w:tmpl w:val="F47CB9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9D4EFE"/>
    <w:multiLevelType w:val="hybridMultilevel"/>
    <w:tmpl w:val="25D6D324"/>
    <w:lvl w:ilvl="0" w:tplc="6E7ABC1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D3FF7"/>
    <w:multiLevelType w:val="hybridMultilevel"/>
    <w:tmpl w:val="E084D54A"/>
    <w:lvl w:ilvl="0" w:tplc="FA3EE0CE">
      <w:start w:val="12"/>
      <w:numFmt w:val="bullet"/>
      <w:lvlText w:val="-"/>
      <w:lvlJc w:val="left"/>
      <w:pPr>
        <w:ind w:left="1778" w:hanging="360"/>
      </w:pPr>
      <w:rPr>
        <w:rFonts w:ascii="Calibri" w:eastAsiaTheme="minorEastAsia" w:hAnsi="Calibri" w:cs="Calibri"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4" w15:restartNumberingAfterBreak="0">
    <w:nsid w:val="21FE4125"/>
    <w:multiLevelType w:val="hybridMultilevel"/>
    <w:tmpl w:val="DC44C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F14299"/>
    <w:multiLevelType w:val="hybridMultilevel"/>
    <w:tmpl w:val="E92A9FD2"/>
    <w:lvl w:ilvl="0" w:tplc="45D0C7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A4008EA"/>
    <w:multiLevelType w:val="hybridMultilevel"/>
    <w:tmpl w:val="2EDAE482"/>
    <w:lvl w:ilvl="0" w:tplc="FA3A3B80">
      <w:start w:val="22"/>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A4D9F"/>
    <w:multiLevelType w:val="hybridMultilevel"/>
    <w:tmpl w:val="05B2BAF4"/>
    <w:lvl w:ilvl="0" w:tplc="08090001">
      <w:start w:val="1"/>
      <w:numFmt w:val="bullet"/>
      <w:lvlText w:val=""/>
      <w:lvlJc w:val="left"/>
      <w:pPr>
        <w:ind w:left="1661" w:hanging="360"/>
      </w:pPr>
      <w:rPr>
        <w:rFonts w:ascii="Symbol" w:hAnsi="Symbol" w:hint="default"/>
      </w:rPr>
    </w:lvl>
    <w:lvl w:ilvl="1" w:tplc="08090003" w:tentative="1">
      <w:start w:val="1"/>
      <w:numFmt w:val="bullet"/>
      <w:lvlText w:val="o"/>
      <w:lvlJc w:val="left"/>
      <w:pPr>
        <w:ind w:left="2381" w:hanging="360"/>
      </w:pPr>
      <w:rPr>
        <w:rFonts w:ascii="Courier New" w:hAnsi="Courier New" w:cs="Courier New" w:hint="default"/>
      </w:rPr>
    </w:lvl>
    <w:lvl w:ilvl="2" w:tplc="08090005" w:tentative="1">
      <w:start w:val="1"/>
      <w:numFmt w:val="bullet"/>
      <w:lvlText w:val=""/>
      <w:lvlJc w:val="left"/>
      <w:pPr>
        <w:ind w:left="3101" w:hanging="360"/>
      </w:pPr>
      <w:rPr>
        <w:rFonts w:ascii="Wingdings" w:hAnsi="Wingdings" w:hint="default"/>
      </w:rPr>
    </w:lvl>
    <w:lvl w:ilvl="3" w:tplc="08090001" w:tentative="1">
      <w:start w:val="1"/>
      <w:numFmt w:val="bullet"/>
      <w:lvlText w:val=""/>
      <w:lvlJc w:val="left"/>
      <w:pPr>
        <w:ind w:left="3821" w:hanging="360"/>
      </w:pPr>
      <w:rPr>
        <w:rFonts w:ascii="Symbol" w:hAnsi="Symbol" w:hint="default"/>
      </w:rPr>
    </w:lvl>
    <w:lvl w:ilvl="4" w:tplc="08090003" w:tentative="1">
      <w:start w:val="1"/>
      <w:numFmt w:val="bullet"/>
      <w:lvlText w:val="o"/>
      <w:lvlJc w:val="left"/>
      <w:pPr>
        <w:ind w:left="4541" w:hanging="360"/>
      </w:pPr>
      <w:rPr>
        <w:rFonts w:ascii="Courier New" w:hAnsi="Courier New" w:cs="Courier New" w:hint="default"/>
      </w:rPr>
    </w:lvl>
    <w:lvl w:ilvl="5" w:tplc="08090005" w:tentative="1">
      <w:start w:val="1"/>
      <w:numFmt w:val="bullet"/>
      <w:lvlText w:val=""/>
      <w:lvlJc w:val="left"/>
      <w:pPr>
        <w:ind w:left="5261" w:hanging="360"/>
      </w:pPr>
      <w:rPr>
        <w:rFonts w:ascii="Wingdings" w:hAnsi="Wingdings" w:hint="default"/>
      </w:rPr>
    </w:lvl>
    <w:lvl w:ilvl="6" w:tplc="08090001" w:tentative="1">
      <w:start w:val="1"/>
      <w:numFmt w:val="bullet"/>
      <w:lvlText w:val=""/>
      <w:lvlJc w:val="left"/>
      <w:pPr>
        <w:ind w:left="5981" w:hanging="360"/>
      </w:pPr>
      <w:rPr>
        <w:rFonts w:ascii="Symbol" w:hAnsi="Symbol" w:hint="default"/>
      </w:rPr>
    </w:lvl>
    <w:lvl w:ilvl="7" w:tplc="08090003" w:tentative="1">
      <w:start w:val="1"/>
      <w:numFmt w:val="bullet"/>
      <w:lvlText w:val="o"/>
      <w:lvlJc w:val="left"/>
      <w:pPr>
        <w:ind w:left="6701" w:hanging="360"/>
      </w:pPr>
      <w:rPr>
        <w:rFonts w:ascii="Courier New" w:hAnsi="Courier New" w:cs="Courier New" w:hint="default"/>
      </w:rPr>
    </w:lvl>
    <w:lvl w:ilvl="8" w:tplc="08090005" w:tentative="1">
      <w:start w:val="1"/>
      <w:numFmt w:val="bullet"/>
      <w:lvlText w:val=""/>
      <w:lvlJc w:val="left"/>
      <w:pPr>
        <w:ind w:left="7421" w:hanging="360"/>
      </w:pPr>
      <w:rPr>
        <w:rFonts w:ascii="Wingdings" w:hAnsi="Wingdings" w:hint="default"/>
      </w:rPr>
    </w:lvl>
  </w:abstractNum>
  <w:abstractNum w:abstractNumId="18" w15:restartNumberingAfterBreak="0">
    <w:nsid w:val="2CC709BA"/>
    <w:multiLevelType w:val="hybridMultilevel"/>
    <w:tmpl w:val="8C9EEA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2EE25162"/>
    <w:multiLevelType w:val="hybridMultilevel"/>
    <w:tmpl w:val="621A0EBA"/>
    <w:lvl w:ilvl="0" w:tplc="4A52A00C">
      <w:start w:val="22"/>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4059E1"/>
    <w:multiLevelType w:val="hybridMultilevel"/>
    <w:tmpl w:val="878EE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39813C2"/>
    <w:multiLevelType w:val="hybridMultilevel"/>
    <w:tmpl w:val="CA48A2B8"/>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2" w15:restartNumberingAfterBreak="0">
    <w:nsid w:val="35332813"/>
    <w:multiLevelType w:val="hybridMultilevel"/>
    <w:tmpl w:val="2EB64C66"/>
    <w:lvl w:ilvl="0" w:tplc="94DE907C">
      <w:start w:val="1"/>
      <w:numFmt w:val="bullet"/>
      <w:lvlText w:val=""/>
      <w:lvlJc w:val="left"/>
      <w:pPr>
        <w:ind w:left="1661" w:hanging="363"/>
      </w:pPr>
      <w:rPr>
        <w:rFonts w:ascii="Symbol" w:hAnsi="Symbol" w:hint="default"/>
      </w:rPr>
    </w:lvl>
    <w:lvl w:ilvl="1" w:tplc="08090003" w:tentative="1">
      <w:start w:val="1"/>
      <w:numFmt w:val="bullet"/>
      <w:lvlText w:val="o"/>
      <w:lvlJc w:val="left"/>
      <w:pPr>
        <w:ind w:left="2577" w:hanging="360"/>
      </w:pPr>
      <w:rPr>
        <w:rFonts w:ascii="Courier New" w:hAnsi="Courier New" w:hint="default"/>
      </w:rPr>
    </w:lvl>
    <w:lvl w:ilvl="2" w:tplc="08090005" w:tentative="1">
      <w:start w:val="1"/>
      <w:numFmt w:val="bullet"/>
      <w:lvlText w:val=""/>
      <w:lvlJc w:val="left"/>
      <w:pPr>
        <w:ind w:left="3297" w:hanging="360"/>
      </w:pPr>
      <w:rPr>
        <w:rFonts w:ascii="Wingdings" w:hAnsi="Wingdings" w:hint="default"/>
      </w:rPr>
    </w:lvl>
    <w:lvl w:ilvl="3" w:tplc="08090001" w:tentative="1">
      <w:start w:val="1"/>
      <w:numFmt w:val="bullet"/>
      <w:lvlText w:val=""/>
      <w:lvlJc w:val="left"/>
      <w:pPr>
        <w:ind w:left="4017" w:hanging="360"/>
      </w:pPr>
      <w:rPr>
        <w:rFonts w:ascii="Symbol" w:hAnsi="Symbol" w:hint="default"/>
      </w:rPr>
    </w:lvl>
    <w:lvl w:ilvl="4" w:tplc="08090003" w:tentative="1">
      <w:start w:val="1"/>
      <w:numFmt w:val="bullet"/>
      <w:lvlText w:val="o"/>
      <w:lvlJc w:val="left"/>
      <w:pPr>
        <w:ind w:left="4737" w:hanging="360"/>
      </w:pPr>
      <w:rPr>
        <w:rFonts w:ascii="Courier New" w:hAnsi="Courier New" w:hint="default"/>
      </w:rPr>
    </w:lvl>
    <w:lvl w:ilvl="5" w:tplc="08090005" w:tentative="1">
      <w:start w:val="1"/>
      <w:numFmt w:val="bullet"/>
      <w:lvlText w:val=""/>
      <w:lvlJc w:val="left"/>
      <w:pPr>
        <w:ind w:left="5457" w:hanging="360"/>
      </w:pPr>
      <w:rPr>
        <w:rFonts w:ascii="Wingdings" w:hAnsi="Wingdings" w:hint="default"/>
      </w:rPr>
    </w:lvl>
    <w:lvl w:ilvl="6" w:tplc="08090001" w:tentative="1">
      <w:start w:val="1"/>
      <w:numFmt w:val="bullet"/>
      <w:lvlText w:val=""/>
      <w:lvlJc w:val="left"/>
      <w:pPr>
        <w:ind w:left="6177" w:hanging="360"/>
      </w:pPr>
      <w:rPr>
        <w:rFonts w:ascii="Symbol" w:hAnsi="Symbol" w:hint="default"/>
      </w:rPr>
    </w:lvl>
    <w:lvl w:ilvl="7" w:tplc="08090003" w:tentative="1">
      <w:start w:val="1"/>
      <w:numFmt w:val="bullet"/>
      <w:lvlText w:val="o"/>
      <w:lvlJc w:val="left"/>
      <w:pPr>
        <w:ind w:left="6897" w:hanging="360"/>
      </w:pPr>
      <w:rPr>
        <w:rFonts w:ascii="Courier New" w:hAnsi="Courier New" w:hint="default"/>
      </w:rPr>
    </w:lvl>
    <w:lvl w:ilvl="8" w:tplc="08090005" w:tentative="1">
      <w:start w:val="1"/>
      <w:numFmt w:val="bullet"/>
      <w:lvlText w:val=""/>
      <w:lvlJc w:val="left"/>
      <w:pPr>
        <w:ind w:left="7617" w:hanging="360"/>
      </w:pPr>
      <w:rPr>
        <w:rFonts w:ascii="Wingdings" w:hAnsi="Wingdings" w:hint="default"/>
      </w:rPr>
    </w:lvl>
  </w:abstractNum>
  <w:abstractNum w:abstractNumId="23" w15:restartNumberingAfterBreak="0">
    <w:nsid w:val="35F96270"/>
    <w:multiLevelType w:val="hybridMultilevel"/>
    <w:tmpl w:val="7CB2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80556"/>
    <w:multiLevelType w:val="hybridMultilevel"/>
    <w:tmpl w:val="BC160AB8"/>
    <w:lvl w:ilvl="0" w:tplc="08090001">
      <w:start w:val="1"/>
      <w:numFmt w:val="bullet"/>
      <w:lvlText w:val=""/>
      <w:lvlJc w:val="left"/>
      <w:pPr>
        <w:ind w:left="1661" w:hanging="360"/>
      </w:pPr>
      <w:rPr>
        <w:rFonts w:ascii="Symbol" w:hAnsi="Symbol" w:hint="default"/>
      </w:rPr>
    </w:lvl>
    <w:lvl w:ilvl="1" w:tplc="08090003" w:tentative="1">
      <w:start w:val="1"/>
      <w:numFmt w:val="bullet"/>
      <w:lvlText w:val="o"/>
      <w:lvlJc w:val="left"/>
      <w:pPr>
        <w:ind w:left="2381" w:hanging="360"/>
      </w:pPr>
      <w:rPr>
        <w:rFonts w:ascii="Courier New" w:hAnsi="Courier New" w:hint="default"/>
      </w:rPr>
    </w:lvl>
    <w:lvl w:ilvl="2" w:tplc="08090005" w:tentative="1">
      <w:start w:val="1"/>
      <w:numFmt w:val="bullet"/>
      <w:lvlText w:val=""/>
      <w:lvlJc w:val="left"/>
      <w:pPr>
        <w:ind w:left="3101" w:hanging="360"/>
      </w:pPr>
      <w:rPr>
        <w:rFonts w:ascii="Wingdings" w:hAnsi="Wingdings" w:hint="default"/>
      </w:rPr>
    </w:lvl>
    <w:lvl w:ilvl="3" w:tplc="08090001" w:tentative="1">
      <w:start w:val="1"/>
      <w:numFmt w:val="bullet"/>
      <w:lvlText w:val=""/>
      <w:lvlJc w:val="left"/>
      <w:pPr>
        <w:ind w:left="3821" w:hanging="360"/>
      </w:pPr>
      <w:rPr>
        <w:rFonts w:ascii="Symbol" w:hAnsi="Symbol" w:hint="default"/>
      </w:rPr>
    </w:lvl>
    <w:lvl w:ilvl="4" w:tplc="08090003" w:tentative="1">
      <w:start w:val="1"/>
      <w:numFmt w:val="bullet"/>
      <w:lvlText w:val="o"/>
      <w:lvlJc w:val="left"/>
      <w:pPr>
        <w:ind w:left="4541" w:hanging="360"/>
      </w:pPr>
      <w:rPr>
        <w:rFonts w:ascii="Courier New" w:hAnsi="Courier New" w:hint="default"/>
      </w:rPr>
    </w:lvl>
    <w:lvl w:ilvl="5" w:tplc="08090005" w:tentative="1">
      <w:start w:val="1"/>
      <w:numFmt w:val="bullet"/>
      <w:lvlText w:val=""/>
      <w:lvlJc w:val="left"/>
      <w:pPr>
        <w:ind w:left="5261" w:hanging="360"/>
      </w:pPr>
      <w:rPr>
        <w:rFonts w:ascii="Wingdings" w:hAnsi="Wingdings" w:hint="default"/>
      </w:rPr>
    </w:lvl>
    <w:lvl w:ilvl="6" w:tplc="08090001" w:tentative="1">
      <w:start w:val="1"/>
      <w:numFmt w:val="bullet"/>
      <w:lvlText w:val=""/>
      <w:lvlJc w:val="left"/>
      <w:pPr>
        <w:ind w:left="5981" w:hanging="360"/>
      </w:pPr>
      <w:rPr>
        <w:rFonts w:ascii="Symbol" w:hAnsi="Symbol" w:hint="default"/>
      </w:rPr>
    </w:lvl>
    <w:lvl w:ilvl="7" w:tplc="08090003" w:tentative="1">
      <w:start w:val="1"/>
      <w:numFmt w:val="bullet"/>
      <w:lvlText w:val="o"/>
      <w:lvlJc w:val="left"/>
      <w:pPr>
        <w:ind w:left="6701" w:hanging="360"/>
      </w:pPr>
      <w:rPr>
        <w:rFonts w:ascii="Courier New" w:hAnsi="Courier New" w:hint="default"/>
      </w:rPr>
    </w:lvl>
    <w:lvl w:ilvl="8" w:tplc="08090005" w:tentative="1">
      <w:start w:val="1"/>
      <w:numFmt w:val="bullet"/>
      <w:lvlText w:val=""/>
      <w:lvlJc w:val="left"/>
      <w:pPr>
        <w:ind w:left="7421" w:hanging="360"/>
      </w:pPr>
      <w:rPr>
        <w:rFonts w:ascii="Wingdings" w:hAnsi="Wingdings" w:hint="default"/>
      </w:rPr>
    </w:lvl>
  </w:abstractNum>
  <w:abstractNum w:abstractNumId="25" w15:restartNumberingAfterBreak="0">
    <w:nsid w:val="3AD1134F"/>
    <w:multiLevelType w:val="hybridMultilevel"/>
    <w:tmpl w:val="D8168544"/>
    <w:lvl w:ilvl="0" w:tplc="08090001">
      <w:start w:val="1"/>
      <w:numFmt w:val="bullet"/>
      <w:lvlText w:val=""/>
      <w:lvlJc w:val="left"/>
      <w:pPr>
        <w:ind w:left="1513" w:hanging="360"/>
      </w:pPr>
      <w:rPr>
        <w:rFonts w:ascii="Symbol" w:hAnsi="Symbol" w:hint="default"/>
      </w:rPr>
    </w:lvl>
    <w:lvl w:ilvl="1" w:tplc="08090003" w:tentative="1">
      <w:start w:val="1"/>
      <w:numFmt w:val="bullet"/>
      <w:lvlText w:val="o"/>
      <w:lvlJc w:val="left"/>
      <w:pPr>
        <w:ind w:left="2233" w:hanging="360"/>
      </w:pPr>
      <w:rPr>
        <w:rFonts w:ascii="Courier New" w:hAnsi="Courier New" w:cs="Courier New" w:hint="default"/>
      </w:rPr>
    </w:lvl>
    <w:lvl w:ilvl="2" w:tplc="08090005" w:tentative="1">
      <w:start w:val="1"/>
      <w:numFmt w:val="bullet"/>
      <w:lvlText w:val=""/>
      <w:lvlJc w:val="left"/>
      <w:pPr>
        <w:ind w:left="2953" w:hanging="360"/>
      </w:pPr>
      <w:rPr>
        <w:rFonts w:ascii="Wingdings" w:hAnsi="Wingdings" w:hint="default"/>
      </w:rPr>
    </w:lvl>
    <w:lvl w:ilvl="3" w:tplc="08090001" w:tentative="1">
      <w:start w:val="1"/>
      <w:numFmt w:val="bullet"/>
      <w:lvlText w:val=""/>
      <w:lvlJc w:val="left"/>
      <w:pPr>
        <w:ind w:left="3673" w:hanging="360"/>
      </w:pPr>
      <w:rPr>
        <w:rFonts w:ascii="Symbol" w:hAnsi="Symbol" w:hint="default"/>
      </w:rPr>
    </w:lvl>
    <w:lvl w:ilvl="4" w:tplc="08090003" w:tentative="1">
      <w:start w:val="1"/>
      <w:numFmt w:val="bullet"/>
      <w:lvlText w:val="o"/>
      <w:lvlJc w:val="left"/>
      <w:pPr>
        <w:ind w:left="4393" w:hanging="360"/>
      </w:pPr>
      <w:rPr>
        <w:rFonts w:ascii="Courier New" w:hAnsi="Courier New" w:cs="Courier New" w:hint="default"/>
      </w:rPr>
    </w:lvl>
    <w:lvl w:ilvl="5" w:tplc="08090005" w:tentative="1">
      <w:start w:val="1"/>
      <w:numFmt w:val="bullet"/>
      <w:lvlText w:val=""/>
      <w:lvlJc w:val="left"/>
      <w:pPr>
        <w:ind w:left="5113" w:hanging="360"/>
      </w:pPr>
      <w:rPr>
        <w:rFonts w:ascii="Wingdings" w:hAnsi="Wingdings" w:hint="default"/>
      </w:rPr>
    </w:lvl>
    <w:lvl w:ilvl="6" w:tplc="08090001" w:tentative="1">
      <w:start w:val="1"/>
      <w:numFmt w:val="bullet"/>
      <w:lvlText w:val=""/>
      <w:lvlJc w:val="left"/>
      <w:pPr>
        <w:ind w:left="5833" w:hanging="360"/>
      </w:pPr>
      <w:rPr>
        <w:rFonts w:ascii="Symbol" w:hAnsi="Symbol" w:hint="default"/>
      </w:rPr>
    </w:lvl>
    <w:lvl w:ilvl="7" w:tplc="08090003" w:tentative="1">
      <w:start w:val="1"/>
      <w:numFmt w:val="bullet"/>
      <w:lvlText w:val="o"/>
      <w:lvlJc w:val="left"/>
      <w:pPr>
        <w:ind w:left="6553" w:hanging="360"/>
      </w:pPr>
      <w:rPr>
        <w:rFonts w:ascii="Courier New" w:hAnsi="Courier New" w:cs="Courier New" w:hint="default"/>
      </w:rPr>
    </w:lvl>
    <w:lvl w:ilvl="8" w:tplc="08090005" w:tentative="1">
      <w:start w:val="1"/>
      <w:numFmt w:val="bullet"/>
      <w:lvlText w:val=""/>
      <w:lvlJc w:val="left"/>
      <w:pPr>
        <w:ind w:left="7273" w:hanging="360"/>
      </w:pPr>
      <w:rPr>
        <w:rFonts w:ascii="Wingdings" w:hAnsi="Wingdings" w:hint="default"/>
      </w:rPr>
    </w:lvl>
  </w:abstractNum>
  <w:abstractNum w:abstractNumId="26" w15:restartNumberingAfterBreak="0">
    <w:nsid w:val="3B4E6152"/>
    <w:multiLevelType w:val="hybridMultilevel"/>
    <w:tmpl w:val="98F0D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A85F2F"/>
    <w:multiLevelType w:val="hybridMultilevel"/>
    <w:tmpl w:val="CEE23F40"/>
    <w:lvl w:ilvl="0" w:tplc="0809000F">
      <w:start w:val="1"/>
      <w:numFmt w:val="decimal"/>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8" w15:restartNumberingAfterBreak="0">
    <w:nsid w:val="40582551"/>
    <w:multiLevelType w:val="hybridMultilevel"/>
    <w:tmpl w:val="A8AA207E"/>
    <w:lvl w:ilvl="0" w:tplc="08090001">
      <w:start w:val="1"/>
      <w:numFmt w:val="bullet"/>
      <w:lvlText w:val=""/>
      <w:lvlJc w:val="left"/>
      <w:pPr>
        <w:ind w:left="1513" w:hanging="360"/>
      </w:pPr>
      <w:rPr>
        <w:rFonts w:ascii="Symbol" w:hAnsi="Symbol" w:hint="default"/>
      </w:rPr>
    </w:lvl>
    <w:lvl w:ilvl="1" w:tplc="08090003" w:tentative="1">
      <w:start w:val="1"/>
      <w:numFmt w:val="bullet"/>
      <w:lvlText w:val="o"/>
      <w:lvlJc w:val="left"/>
      <w:pPr>
        <w:ind w:left="2233" w:hanging="360"/>
      </w:pPr>
      <w:rPr>
        <w:rFonts w:ascii="Courier New" w:hAnsi="Courier New" w:cs="Courier New" w:hint="default"/>
      </w:rPr>
    </w:lvl>
    <w:lvl w:ilvl="2" w:tplc="08090005" w:tentative="1">
      <w:start w:val="1"/>
      <w:numFmt w:val="bullet"/>
      <w:lvlText w:val=""/>
      <w:lvlJc w:val="left"/>
      <w:pPr>
        <w:ind w:left="2953" w:hanging="360"/>
      </w:pPr>
      <w:rPr>
        <w:rFonts w:ascii="Wingdings" w:hAnsi="Wingdings" w:hint="default"/>
      </w:rPr>
    </w:lvl>
    <w:lvl w:ilvl="3" w:tplc="08090001" w:tentative="1">
      <w:start w:val="1"/>
      <w:numFmt w:val="bullet"/>
      <w:lvlText w:val=""/>
      <w:lvlJc w:val="left"/>
      <w:pPr>
        <w:ind w:left="3673" w:hanging="360"/>
      </w:pPr>
      <w:rPr>
        <w:rFonts w:ascii="Symbol" w:hAnsi="Symbol" w:hint="default"/>
      </w:rPr>
    </w:lvl>
    <w:lvl w:ilvl="4" w:tplc="08090003" w:tentative="1">
      <w:start w:val="1"/>
      <w:numFmt w:val="bullet"/>
      <w:lvlText w:val="o"/>
      <w:lvlJc w:val="left"/>
      <w:pPr>
        <w:ind w:left="4393" w:hanging="360"/>
      </w:pPr>
      <w:rPr>
        <w:rFonts w:ascii="Courier New" w:hAnsi="Courier New" w:cs="Courier New" w:hint="default"/>
      </w:rPr>
    </w:lvl>
    <w:lvl w:ilvl="5" w:tplc="08090005" w:tentative="1">
      <w:start w:val="1"/>
      <w:numFmt w:val="bullet"/>
      <w:lvlText w:val=""/>
      <w:lvlJc w:val="left"/>
      <w:pPr>
        <w:ind w:left="5113" w:hanging="360"/>
      </w:pPr>
      <w:rPr>
        <w:rFonts w:ascii="Wingdings" w:hAnsi="Wingdings" w:hint="default"/>
      </w:rPr>
    </w:lvl>
    <w:lvl w:ilvl="6" w:tplc="08090001" w:tentative="1">
      <w:start w:val="1"/>
      <w:numFmt w:val="bullet"/>
      <w:lvlText w:val=""/>
      <w:lvlJc w:val="left"/>
      <w:pPr>
        <w:ind w:left="5833" w:hanging="360"/>
      </w:pPr>
      <w:rPr>
        <w:rFonts w:ascii="Symbol" w:hAnsi="Symbol" w:hint="default"/>
      </w:rPr>
    </w:lvl>
    <w:lvl w:ilvl="7" w:tplc="08090003" w:tentative="1">
      <w:start w:val="1"/>
      <w:numFmt w:val="bullet"/>
      <w:lvlText w:val="o"/>
      <w:lvlJc w:val="left"/>
      <w:pPr>
        <w:ind w:left="6553" w:hanging="360"/>
      </w:pPr>
      <w:rPr>
        <w:rFonts w:ascii="Courier New" w:hAnsi="Courier New" w:cs="Courier New" w:hint="default"/>
      </w:rPr>
    </w:lvl>
    <w:lvl w:ilvl="8" w:tplc="08090005" w:tentative="1">
      <w:start w:val="1"/>
      <w:numFmt w:val="bullet"/>
      <w:lvlText w:val=""/>
      <w:lvlJc w:val="left"/>
      <w:pPr>
        <w:ind w:left="7273" w:hanging="360"/>
      </w:pPr>
      <w:rPr>
        <w:rFonts w:ascii="Wingdings" w:hAnsi="Wingdings" w:hint="default"/>
      </w:rPr>
    </w:lvl>
  </w:abstractNum>
  <w:abstractNum w:abstractNumId="29" w15:restartNumberingAfterBreak="0">
    <w:nsid w:val="46072C93"/>
    <w:multiLevelType w:val="hybridMultilevel"/>
    <w:tmpl w:val="8F6A3858"/>
    <w:lvl w:ilvl="0" w:tplc="0D08330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29538F"/>
    <w:multiLevelType w:val="hybridMultilevel"/>
    <w:tmpl w:val="FD460A3C"/>
    <w:lvl w:ilvl="0" w:tplc="E5CC71E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1" w15:restartNumberingAfterBreak="0">
    <w:nsid w:val="47710C59"/>
    <w:multiLevelType w:val="hybridMultilevel"/>
    <w:tmpl w:val="0918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ED5A4A"/>
    <w:multiLevelType w:val="hybridMultilevel"/>
    <w:tmpl w:val="27D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8C5832"/>
    <w:multiLevelType w:val="hybridMultilevel"/>
    <w:tmpl w:val="9D96FB26"/>
    <w:lvl w:ilvl="0" w:tplc="08090001">
      <w:start w:val="1"/>
      <w:numFmt w:val="bullet"/>
      <w:lvlText w:val=""/>
      <w:lvlJc w:val="left"/>
      <w:pPr>
        <w:ind w:left="1661" w:hanging="360"/>
      </w:pPr>
      <w:rPr>
        <w:rFonts w:ascii="Symbol" w:hAnsi="Symbol" w:hint="default"/>
      </w:rPr>
    </w:lvl>
    <w:lvl w:ilvl="1" w:tplc="08090003" w:tentative="1">
      <w:start w:val="1"/>
      <w:numFmt w:val="bullet"/>
      <w:lvlText w:val="o"/>
      <w:lvlJc w:val="left"/>
      <w:pPr>
        <w:ind w:left="2381" w:hanging="360"/>
      </w:pPr>
      <w:rPr>
        <w:rFonts w:ascii="Courier New" w:hAnsi="Courier New" w:hint="default"/>
      </w:rPr>
    </w:lvl>
    <w:lvl w:ilvl="2" w:tplc="08090005" w:tentative="1">
      <w:start w:val="1"/>
      <w:numFmt w:val="bullet"/>
      <w:lvlText w:val=""/>
      <w:lvlJc w:val="left"/>
      <w:pPr>
        <w:ind w:left="3101" w:hanging="360"/>
      </w:pPr>
      <w:rPr>
        <w:rFonts w:ascii="Wingdings" w:hAnsi="Wingdings" w:hint="default"/>
      </w:rPr>
    </w:lvl>
    <w:lvl w:ilvl="3" w:tplc="08090001" w:tentative="1">
      <w:start w:val="1"/>
      <w:numFmt w:val="bullet"/>
      <w:lvlText w:val=""/>
      <w:lvlJc w:val="left"/>
      <w:pPr>
        <w:ind w:left="3821" w:hanging="360"/>
      </w:pPr>
      <w:rPr>
        <w:rFonts w:ascii="Symbol" w:hAnsi="Symbol" w:hint="default"/>
      </w:rPr>
    </w:lvl>
    <w:lvl w:ilvl="4" w:tplc="08090003" w:tentative="1">
      <w:start w:val="1"/>
      <w:numFmt w:val="bullet"/>
      <w:lvlText w:val="o"/>
      <w:lvlJc w:val="left"/>
      <w:pPr>
        <w:ind w:left="4541" w:hanging="360"/>
      </w:pPr>
      <w:rPr>
        <w:rFonts w:ascii="Courier New" w:hAnsi="Courier New" w:hint="default"/>
      </w:rPr>
    </w:lvl>
    <w:lvl w:ilvl="5" w:tplc="08090005" w:tentative="1">
      <w:start w:val="1"/>
      <w:numFmt w:val="bullet"/>
      <w:lvlText w:val=""/>
      <w:lvlJc w:val="left"/>
      <w:pPr>
        <w:ind w:left="5261" w:hanging="360"/>
      </w:pPr>
      <w:rPr>
        <w:rFonts w:ascii="Wingdings" w:hAnsi="Wingdings" w:hint="default"/>
      </w:rPr>
    </w:lvl>
    <w:lvl w:ilvl="6" w:tplc="08090001" w:tentative="1">
      <w:start w:val="1"/>
      <w:numFmt w:val="bullet"/>
      <w:lvlText w:val=""/>
      <w:lvlJc w:val="left"/>
      <w:pPr>
        <w:ind w:left="5981" w:hanging="360"/>
      </w:pPr>
      <w:rPr>
        <w:rFonts w:ascii="Symbol" w:hAnsi="Symbol" w:hint="default"/>
      </w:rPr>
    </w:lvl>
    <w:lvl w:ilvl="7" w:tplc="08090003" w:tentative="1">
      <w:start w:val="1"/>
      <w:numFmt w:val="bullet"/>
      <w:lvlText w:val="o"/>
      <w:lvlJc w:val="left"/>
      <w:pPr>
        <w:ind w:left="6701" w:hanging="360"/>
      </w:pPr>
      <w:rPr>
        <w:rFonts w:ascii="Courier New" w:hAnsi="Courier New" w:hint="default"/>
      </w:rPr>
    </w:lvl>
    <w:lvl w:ilvl="8" w:tplc="08090005" w:tentative="1">
      <w:start w:val="1"/>
      <w:numFmt w:val="bullet"/>
      <w:lvlText w:val=""/>
      <w:lvlJc w:val="left"/>
      <w:pPr>
        <w:ind w:left="7421" w:hanging="360"/>
      </w:pPr>
      <w:rPr>
        <w:rFonts w:ascii="Wingdings" w:hAnsi="Wingdings" w:hint="default"/>
      </w:rPr>
    </w:lvl>
  </w:abstractNum>
  <w:abstractNum w:abstractNumId="34" w15:restartNumberingAfterBreak="0">
    <w:nsid w:val="53FE0E8C"/>
    <w:multiLevelType w:val="hybridMultilevel"/>
    <w:tmpl w:val="82B6E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5E50120"/>
    <w:multiLevelType w:val="hybridMultilevel"/>
    <w:tmpl w:val="D58C1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245F72"/>
    <w:multiLevelType w:val="hybridMultilevel"/>
    <w:tmpl w:val="CEC2856E"/>
    <w:lvl w:ilvl="0" w:tplc="E4CE36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D2226F4"/>
    <w:multiLevelType w:val="hybridMultilevel"/>
    <w:tmpl w:val="50428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EA9429A"/>
    <w:multiLevelType w:val="hybridMultilevel"/>
    <w:tmpl w:val="BC686CE8"/>
    <w:lvl w:ilvl="0" w:tplc="08090001">
      <w:start w:val="1"/>
      <w:numFmt w:val="bullet"/>
      <w:lvlText w:val=""/>
      <w:lvlJc w:val="left"/>
      <w:pPr>
        <w:ind w:left="1661" w:hanging="360"/>
      </w:pPr>
      <w:rPr>
        <w:rFonts w:ascii="Symbol" w:hAnsi="Symbol" w:hint="default"/>
      </w:rPr>
    </w:lvl>
    <w:lvl w:ilvl="1" w:tplc="08090003" w:tentative="1">
      <w:start w:val="1"/>
      <w:numFmt w:val="bullet"/>
      <w:lvlText w:val="o"/>
      <w:lvlJc w:val="left"/>
      <w:pPr>
        <w:ind w:left="2381" w:hanging="360"/>
      </w:pPr>
      <w:rPr>
        <w:rFonts w:ascii="Courier New" w:hAnsi="Courier New" w:cs="Courier New" w:hint="default"/>
      </w:rPr>
    </w:lvl>
    <w:lvl w:ilvl="2" w:tplc="08090005" w:tentative="1">
      <w:start w:val="1"/>
      <w:numFmt w:val="bullet"/>
      <w:lvlText w:val=""/>
      <w:lvlJc w:val="left"/>
      <w:pPr>
        <w:ind w:left="3101" w:hanging="360"/>
      </w:pPr>
      <w:rPr>
        <w:rFonts w:ascii="Wingdings" w:hAnsi="Wingdings" w:hint="default"/>
      </w:rPr>
    </w:lvl>
    <w:lvl w:ilvl="3" w:tplc="08090001" w:tentative="1">
      <w:start w:val="1"/>
      <w:numFmt w:val="bullet"/>
      <w:lvlText w:val=""/>
      <w:lvlJc w:val="left"/>
      <w:pPr>
        <w:ind w:left="3821" w:hanging="360"/>
      </w:pPr>
      <w:rPr>
        <w:rFonts w:ascii="Symbol" w:hAnsi="Symbol" w:hint="default"/>
      </w:rPr>
    </w:lvl>
    <w:lvl w:ilvl="4" w:tplc="08090003" w:tentative="1">
      <w:start w:val="1"/>
      <w:numFmt w:val="bullet"/>
      <w:lvlText w:val="o"/>
      <w:lvlJc w:val="left"/>
      <w:pPr>
        <w:ind w:left="4541" w:hanging="360"/>
      </w:pPr>
      <w:rPr>
        <w:rFonts w:ascii="Courier New" w:hAnsi="Courier New" w:cs="Courier New" w:hint="default"/>
      </w:rPr>
    </w:lvl>
    <w:lvl w:ilvl="5" w:tplc="08090005" w:tentative="1">
      <w:start w:val="1"/>
      <w:numFmt w:val="bullet"/>
      <w:lvlText w:val=""/>
      <w:lvlJc w:val="left"/>
      <w:pPr>
        <w:ind w:left="5261" w:hanging="360"/>
      </w:pPr>
      <w:rPr>
        <w:rFonts w:ascii="Wingdings" w:hAnsi="Wingdings" w:hint="default"/>
      </w:rPr>
    </w:lvl>
    <w:lvl w:ilvl="6" w:tplc="08090001" w:tentative="1">
      <w:start w:val="1"/>
      <w:numFmt w:val="bullet"/>
      <w:lvlText w:val=""/>
      <w:lvlJc w:val="left"/>
      <w:pPr>
        <w:ind w:left="5981" w:hanging="360"/>
      </w:pPr>
      <w:rPr>
        <w:rFonts w:ascii="Symbol" w:hAnsi="Symbol" w:hint="default"/>
      </w:rPr>
    </w:lvl>
    <w:lvl w:ilvl="7" w:tplc="08090003" w:tentative="1">
      <w:start w:val="1"/>
      <w:numFmt w:val="bullet"/>
      <w:lvlText w:val="o"/>
      <w:lvlJc w:val="left"/>
      <w:pPr>
        <w:ind w:left="6701" w:hanging="360"/>
      </w:pPr>
      <w:rPr>
        <w:rFonts w:ascii="Courier New" w:hAnsi="Courier New" w:cs="Courier New" w:hint="default"/>
      </w:rPr>
    </w:lvl>
    <w:lvl w:ilvl="8" w:tplc="08090005" w:tentative="1">
      <w:start w:val="1"/>
      <w:numFmt w:val="bullet"/>
      <w:lvlText w:val=""/>
      <w:lvlJc w:val="left"/>
      <w:pPr>
        <w:ind w:left="7421" w:hanging="360"/>
      </w:pPr>
      <w:rPr>
        <w:rFonts w:ascii="Wingdings" w:hAnsi="Wingdings" w:hint="default"/>
      </w:rPr>
    </w:lvl>
  </w:abstractNum>
  <w:abstractNum w:abstractNumId="39" w15:restartNumberingAfterBreak="0">
    <w:nsid w:val="5F4F2508"/>
    <w:multiLevelType w:val="hybridMultilevel"/>
    <w:tmpl w:val="9A02C5A8"/>
    <w:lvl w:ilvl="0" w:tplc="0D08330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E04BFF"/>
    <w:multiLevelType w:val="hybridMultilevel"/>
    <w:tmpl w:val="71DC7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51120B"/>
    <w:multiLevelType w:val="hybridMultilevel"/>
    <w:tmpl w:val="EC7E603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2" w15:restartNumberingAfterBreak="0">
    <w:nsid w:val="6CB935E5"/>
    <w:multiLevelType w:val="hybridMultilevel"/>
    <w:tmpl w:val="B20631A2"/>
    <w:lvl w:ilvl="0" w:tplc="1B6691F4">
      <w:start w:val="1"/>
      <w:numFmt w:val="lowerLetter"/>
      <w:lvlText w:val="(%1)"/>
      <w:lvlJc w:val="left"/>
      <w:pPr>
        <w:ind w:left="1903" w:hanging="360"/>
      </w:pPr>
      <w:rPr>
        <w:rFonts w:hint="default"/>
      </w:rPr>
    </w:lvl>
    <w:lvl w:ilvl="1" w:tplc="08090019" w:tentative="1">
      <w:start w:val="1"/>
      <w:numFmt w:val="lowerLetter"/>
      <w:lvlText w:val="%2."/>
      <w:lvlJc w:val="left"/>
      <w:pPr>
        <w:ind w:left="2623" w:hanging="360"/>
      </w:pPr>
    </w:lvl>
    <w:lvl w:ilvl="2" w:tplc="0809001B" w:tentative="1">
      <w:start w:val="1"/>
      <w:numFmt w:val="lowerRoman"/>
      <w:lvlText w:val="%3."/>
      <w:lvlJc w:val="right"/>
      <w:pPr>
        <w:ind w:left="3343" w:hanging="180"/>
      </w:pPr>
    </w:lvl>
    <w:lvl w:ilvl="3" w:tplc="0809000F" w:tentative="1">
      <w:start w:val="1"/>
      <w:numFmt w:val="decimal"/>
      <w:lvlText w:val="%4."/>
      <w:lvlJc w:val="left"/>
      <w:pPr>
        <w:ind w:left="4063" w:hanging="360"/>
      </w:pPr>
    </w:lvl>
    <w:lvl w:ilvl="4" w:tplc="08090019" w:tentative="1">
      <w:start w:val="1"/>
      <w:numFmt w:val="lowerLetter"/>
      <w:lvlText w:val="%5."/>
      <w:lvlJc w:val="left"/>
      <w:pPr>
        <w:ind w:left="4783" w:hanging="360"/>
      </w:pPr>
    </w:lvl>
    <w:lvl w:ilvl="5" w:tplc="0809001B" w:tentative="1">
      <w:start w:val="1"/>
      <w:numFmt w:val="lowerRoman"/>
      <w:lvlText w:val="%6."/>
      <w:lvlJc w:val="right"/>
      <w:pPr>
        <w:ind w:left="5503" w:hanging="180"/>
      </w:pPr>
    </w:lvl>
    <w:lvl w:ilvl="6" w:tplc="0809000F" w:tentative="1">
      <w:start w:val="1"/>
      <w:numFmt w:val="decimal"/>
      <w:lvlText w:val="%7."/>
      <w:lvlJc w:val="left"/>
      <w:pPr>
        <w:ind w:left="6223" w:hanging="360"/>
      </w:pPr>
    </w:lvl>
    <w:lvl w:ilvl="7" w:tplc="08090019" w:tentative="1">
      <w:start w:val="1"/>
      <w:numFmt w:val="lowerLetter"/>
      <w:lvlText w:val="%8."/>
      <w:lvlJc w:val="left"/>
      <w:pPr>
        <w:ind w:left="6943" w:hanging="360"/>
      </w:pPr>
    </w:lvl>
    <w:lvl w:ilvl="8" w:tplc="0809001B" w:tentative="1">
      <w:start w:val="1"/>
      <w:numFmt w:val="lowerRoman"/>
      <w:lvlText w:val="%9."/>
      <w:lvlJc w:val="right"/>
      <w:pPr>
        <w:ind w:left="7663" w:hanging="180"/>
      </w:pPr>
    </w:lvl>
  </w:abstractNum>
  <w:abstractNum w:abstractNumId="43" w15:restartNumberingAfterBreak="0">
    <w:nsid w:val="6E767ACF"/>
    <w:multiLevelType w:val="hybridMultilevel"/>
    <w:tmpl w:val="DAF465BA"/>
    <w:lvl w:ilvl="0" w:tplc="1772C6F2">
      <w:start w:val="1"/>
      <w:numFmt w:val="decimal"/>
      <w:lvlText w:val="%1."/>
      <w:lvlJc w:val="left"/>
      <w:pPr>
        <w:ind w:left="645" w:hanging="360"/>
      </w:pPr>
      <w:rPr>
        <w:rFonts w:hint="default"/>
        <w:b w:val="0"/>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44" w15:restartNumberingAfterBreak="0">
    <w:nsid w:val="7027465A"/>
    <w:multiLevelType w:val="hybridMultilevel"/>
    <w:tmpl w:val="7F8C9E28"/>
    <w:lvl w:ilvl="0" w:tplc="9F448862">
      <w:numFmt w:val="bullet"/>
      <w:lvlText w:val="-"/>
      <w:lvlJc w:val="left"/>
      <w:pPr>
        <w:ind w:left="4901" w:hanging="360"/>
      </w:pPr>
      <w:rPr>
        <w:rFonts w:ascii="Times New Roman" w:eastAsia="Times New Roman" w:hAnsi="Times New Roman" w:cs="Times New Roman" w:hint="default"/>
      </w:rPr>
    </w:lvl>
    <w:lvl w:ilvl="1" w:tplc="08090003" w:tentative="1">
      <w:start w:val="1"/>
      <w:numFmt w:val="bullet"/>
      <w:lvlText w:val="o"/>
      <w:lvlJc w:val="left"/>
      <w:pPr>
        <w:ind w:left="5621" w:hanging="360"/>
      </w:pPr>
      <w:rPr>
        <w:rFonts w:ascii="Courier New" w:hAnsi="Courier New" w:cs="Courier New" w:hint="default"/>
      </w:rPr>
    </w:lvl>
    <w:lvl w:ilvl="2" w:tplc="08090005" w:tentative="1">
      <w:start w:val="1"/>
      <w:numFmt w:val="bullet"/>
      <w:lvlText w:val=""/>
      <w:lvlJc w:val="left"/>
      <w:pPr>
        <w:ind w:left="6341" w:hanging="360"/>
      </w:pPr>
      <w:rPr>
        <w:rFonts w:ascii="Wingdings" w:hAnsi="Wingdings" w:hint="default"/>
      </w:rPr>
    </w:lvl>
    <w:lvl w:ilvl="3" w:tplc="08090001" w:tentative="1">
      <w:start w:val="1"/>
      <w:numFmt w:val="bullet"/>
      <w:lvlText w:val=""/>
      <w:lvlJc w:val="left"/>
      <w:pPr>
        <w:ind w:left="7061" w:hanging="360"/>
      </w:pPr>
      <w:rPr>
        <w:rFonts w:ascii="Symbol" w:hAnsi="Symbol" w:hint="default"/>
      </w:rPr>
    </w:lvl>
    <w:lvl w:ilvl="4" w:tplc="08090003" w:tentative="1">
      <w:start w:val="1"/>
      <w:numFmt w:val="bullet"/>
      <w:lvlText w:val="o"/>
      <w:lvlJc w:val="left"/>
      <w:pPr>
        <w:ind w:left="7781" w:hanging="360"/>
      </w:pPr>
      <w:rPr>
        <w:rFonts w:ascii="Courier New" w:hAnsi="Courier New" w:cs="Courier New" w:hint="default"/>
      </w:rPr>
    </w:lvl>
    <w:lvl w:ilvl="5" w:tplc="08090005" w:tentative="1">
      <w:start w:val="1"/>
      <w:numFmt w:val="bullet"/>
      <w:lvlText w:val=""/>
      <w:lvlJc w:val="left"/>
      <w:pPr>
        <w:ind w:left="8501" w:hanging="360"/>
      </w:pPr>
      <w:rPr>
        <w:rFonts w:ascii="Wingdings" w:hAnsi="Wingdings" w:hint="default"/>
      </w:rPr>
    </w:lvl>
    <w:lvl w:ilvl="6" w:tplc="08090001" w:tentative="1">
      <w:start w:val="1"/>
      <w:numFmt w:val="bullet"/>
      <w:lvlText w:val=""/>
      <w:lvlJc w:val="left"/>
      <w:pPr>
        <w:ind w:left="9221" w:hanging="360"/>
      </w:pPr>
      <w:rPr>
        <w:rFonts w:ascii="Symbol" w:hAnsi="Symbol" w:hint="default"/>
      </w:rPr>
    </w:lvl>
    <w:lvl w:ilvl="7" w:tplc="08090003" w:tentative="1">
      <w:start w:val="1"/>
      <w:numFmt w:val="bullet"/>
      <w:lvlText w:val="o"/>
      <w:lvlJc w:val="left"/>
      <w:pPr>
        <w:ind w:left="9941" w:hanging="360"/>
      </w:pPr>
      <w:rPr>
        <w:rFonts w:ascii="Courier New" w:hAnsi="Courier New" w:cs="Courier New" w:hint="default"/>
      </w:rPr>
    </w:lvl>
    <w:lvl w:ilvl="8" w:tplc="08090005" w:tentative="1">
      <w:start w:val="1"/>
      <w:numFmt w:val="bullet"/>
      <w:lvlText w:val=""/>
      <w:lvlJc w:val="left"/>
      <w:pPr>
        <w:ind w:left="10661" w:hanging="360"/>
      </w:pPr>
      <w:rPr>
        <w:rFonts w:ascii="Wingdings" w:hAnsi="Wingdings" w:hint="default"/>
      </w:rPr>
    </w:lvl>
  </w:abstractNum>
  <w:abstractNum w:abstractNumId="45" w15:restartNumberingAfterBreak="0">
    <w:nsid w:val="730E2A64"/>
    <w:multiLevelType w:val="hybridMultilevel"/>
    <w:tmpl w:val="2AC67D2E"/>
    <w:lvl w:ilvl="0" w:tplc="13FCF26E">
      <w:start w:val="12"/>
      <w:numFmt w:val="bullet"/>
      <w:lvlText w:val=""/>
      <w:lvlJc w:val="left"/>
      <w:pPr>
        <w:ind w:left="1353" w:hanging="360"/>
      </w:pPr>
      <w:rPr>
        <w:rFonts w:ascii="Wingdings" w:eastAsiaTheme="minorEastAsia" w:hAnsi="Wingdings"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6" w15:restartNumberingAfterBreak="0">
    <w:nsid w:val="75C13FE0"/>
    <w:multiLevelType w:val="hybridMultilevel"/>
    <w:tmpl w:val="3DD6B518"/>
    <w:lvl w:ilvl="0" w:tplc="68146594">
      <w:start w:val="1"/>
      <w:numFmt w:val="decimal"/>
      <w:lvlText w:val="%1."/>
      <w:lvlJc w:val="left"/>
      <w:pPr>
        <w:ind w:left="1301" w:hanging="360"/>
      </w:pPr>
      <w:rPr>
        <w:rFonts w:hint="default"/>
      </w:rPr>
    </w:lvl>
    <w:lvl w:ilvl="1" w:tplc="08090019" w:tentative="1">
      <w:start w:val="1"/>
      <w:numFmt w:val="lowerLetter"/>
      <w:lvlText w:val="%2."/>
      <w:lvlJc w:val="left"/>
      <w:pPr>
        <w:ind w:left="2021" w:hanging="360"/>
      </w:pPr>
    </w:lvl>
    <w:lvl w:ilvl="2" w:tplc="0809001B" w:tentative="1">
      <w:start w:val="1"/>
      <w:numFmt w:val="lowerRoman"/>
      <w:lvlText w:val="%3."/>
      <w:lvlJc w:val="right"/>
      <w:pPr>
        <w:ind w:left="2741" w:hanging="180"/>
      </w:pPr>
    </w:lvl>
    <w:lvl w:ilvl="3" w:tplc="0809000F" w:tentative="1">
      <w:start w:val="1"/>
      <w:numFmt w:val="decimal"/>
      <w:lvlText w:val="%4."/>
      <w:lvlJc w:val="left"/>
      <w:pPr>
        <w:ind w:left="3461" w:hanging="360"/>
      </w:pPr>
    </w:lvl>
    <w:lvl w:ilvl="4" w:tplc="08090019" w:tentative="1">
      <w:start w:val="1"/>
      <w:numFmt w:val="lowerLetter"/>
      <w:lvlText w:val="%5."/>
      <w:lvlJc w:val="left"/>
      <w:pPr>
        <w:ind w:left="4181" w:hanging="360"/>
      </w:pPr>
    </w:lvl>
    <w:lvl w:ilvl="5" w:tplc="0809001B" w:tentative="1">
      <w:start w:val="1"/>
      <w:numFmt w:val="lowerRoman"/>
      <w:lvlText w:val="%6."/>
      <w:lvlJc w:val="right"/>
      <w:pPr>
        <w:ind w:left="4901" w:hanging="180"/>
      </w:pPr>
    </w:lvl>
    <w:lvl w:ilvl="6" w:tplc="0809000F" w:tentative="1">
      <w:start w:val="1"/>
      <w:numFmt w:val="decimal"/>
      <w:lvlText w:val="%7."/>
      <w:lvlJc w:val="left"/>
      <w:pPr>
        <w:ind w:left="5621" w:hanging="360"/>
      </w:pPr>
    </w:lvl>
    <w:lvl w:ilvl="7" w:tplc="08090019" w:tentative="1">
      <w:start w:val="1"/>
      <w:numFmt w:val="lowerLetter"/>
      <w:lvlText w:val="%8."/>
      <w:lvlJc w:val="left"/>
      <w:pPr>
        <w:ind w:left="6341" w:hanging="360"/>
      </w:pPr>
    </w:lvl>
    <w:lvl w:ilvl="8" w:tplc="0809001B" w:tentative="1">
      <w:start w:val="1"/>
      <w:numFmt w:val="lowerRoman"/>
      <w:lvlText w:val="%9."/>
      <w:lvlJc w:val="right"/>
      <w:pPr>
        <w:ind w:left="7061" w:hanging="180"/>
      </w:pPr>
    </w:lvl>
  </w:abstractNum>
  <w:abstractNum w:abstractNumId="47" w15:restartNumberingAfterBreak="0">
    <w:nsid w:val="75C84237"/>
    <w:multiLevelType w:val="hybridMultilevel"/>
    <w:tmpl w:val="6F60443C"/>
    <w:lvl w:ilvl="0" w:tplc="36466D6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857944">
    <w:abstractNumId w:val="36"/>
  </w:num>
  <w:num w:numId="2" w16cid:durableId="706026814">
    <w:abstractNumId w:val="26"/>
  </w:num>
  <w:num w:numId="3" w16cid:durableId="1458990582">
    <w:abstractNumId w:val="34"/>
  </w:num>
  <w:num w:numId="4" w16cid:durableId="894975607">
    <w:abstractNumId w:val="4"/>
  </w:num>
  <w:num w:numId="5" w16cid:durableId="1962689388">
    <w:abstractNumId w:val="3"/>
  </w:num>
  <w:num w:numId="6" w16cid:durableId="1473450384">
    <w:abstractNumId w:val="47"/>
  </w:num>
  <w:num w:numId="7" w16cid:durableId="2055033282">
    <w:abstractNumId w:val="8"/>
  </w:num>
  <w:num w:numId="8" w16cid:durableId="1554318082">
    <w:abstractNumId w:val="33"/>
  </w:num>
  <w:num w:numId="9" w16cid:durableId="1822312571">
    <w:abstractNumId w:val="24"/>
  </w:num>
  <w:num w:numId="10" w16cid:durableId="8545356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224409">
    <w:abstractNumId w:val="1"/>
  </w:num>
  <w:num w:numId="12" w16cid:durableId="185869869">
    <w:abstractNumId w:val="30"/>
  </w:num>
  <w:num w:numId="13" w16cid:durableId="1951349666">
    <w:abstractNumId w:val="22"/>
  </w:num>
  <w:num w:numId="14" w16cid:durableId="1746028394">
    <w:abstractNumId w:val="29"/>
  </w:num>
  <w:num w:numId="15" w16cid:durableId="641733670">
    <w:abstractNumId w:val="42"/>
  </w:num>
  <w:num w:numId="16" w16cid:durableId="1591506576">
    <w:abstractNumId w:val="21"/>
  </w:num>
  <w:num w:numId="17" w16cid:durableId="2105494642">
    <w:abstractNumId w:val="9"/>
  </w:num>
  <w:num w:numId="18" w16cid:durableId="1301114428">
    <w:abstractNumId w:val="6"/>
  </w:num>
  <w:num w:numId="19" w16cid:durableId="553350266">
    <w:abstractNumId w:val="27"/>
  </w:num>
  <w:num w:numId="20" w16cid:durableId="1567449131">
    <w:abstractNumId w:val="46"/>
  </w:num>
  <w:num w:numId="21" w16cid:durableId="935789051">
    <w:abstractNumId w:val="13"/>
  </w:num>
  <w:num w:numId="22" w16cid:durableId="2099251362">
    <w:abstractNumId w:val="45"/>
  </w:num>
  <w:num w:numId="23" w16cid:durableId="83696517">
    <w:abstractNumId w:val="10"/>
  </w:num>
  <w:num w:numId="24" w16cid:durableId="1542129212">
    <w:abstractNumId w:val="41"/>
  </w:num>
  <w:num w:numId="25" w16cid:durableId="767890345">
    <w:abstractNumId w:val="43"/>
  </w:num>
  <w:num w:numId="26" w16cid:durableId="1336029878">
    <w:abstractNumId w:val="11"/>
  </w:num>
  <w:num w:numId="27" w16cid:durableId="374161516">
    <w:abstractNumId w:val="23"/>
  </w:num>
  <w:num w:numId="28" w16cid:durableId="2001931864">
    <w:abstractNumId w:val="32"/>
  </w:num>
  <w:num w:numId="29" w16cid:durableId="2070641989">
    <w:abstractNumId w:val="40"/>
  </w:num>
  <w:num w:numId="30" w16cid:durableId="1145515378">
    <w:abstractNumId w:val="39"/>
  </w:num>
  <w:num w:numId="31" w16cid:durableId="1617785923">
    <w:abstractNumId w:val="19"/>
  </w:num>
  <w:num w:numId="32" w16cid:durableId="641616451">
    <w:abstractNumId w:val="16"/>
  </w:num>
  <w:num w:numId="33" w16cid:durableId="990215818">
    <w:abstractNumId w:val="5"/>
  </w:num>
  <w:num w:numId="34" w16cid:durableId="1344935478">
    <w:abstractNumId w:val="35"/>
  </w:num>
  <w:num w:numId="35" w16cid:durableId="434794003">
    <w:abstractNumId w:val="7"/>
  </w:num>
  <w:num w:numId="36" w16cid:durableId="1721857610">
    <w:abstractNumId w:val="44"/>
  </w:num>
  <w:num w:numId="37" w16cid:durableId="1953778861">
    <w:abstractNumId w:val="14"/>
  </w:num>
  <w:num w:numId="38" w16cid:durableId="1086072928">
    <w:abstractNumId w:val="20"/>
  </w:num>
  <w:num w:numId="39" w16cid:durableId="1090350822">
    <w:abstractNumId w:val="0"/>
  </w:num>
  <w:num w:numId="40" w16cid:durableId="1415124128">
    <w:abstractNumId w:val="15"/>
  </w:num>
  <w:num w:numId="41" w16cid:durableId="1226138946">
    <w:abstractNumId w:val="2"/>
  </w:num>
  <w:num w:numId="42" w16cid:durableId="1440564393">
    <w:abstractNumId w:val="12"/>
  </w:num>
  <w:num w:numId="43" w16cid:durableId="1497960176">
    <w:abstractNumId w:val="18"/>
  </w:num>
  <w:num w:numId="44" w16cid:durableId="448207828">
    <w:abstractNumId w:val="17"/>
  </w:num>
  <w:num w:numId="45" w16cid:durableId="1261379083">
    <w:abstractNumId w:val="37"/>
  </w:num>
  <w:num w:numId="46" w16cid:durableId="1771854000">
    <w:abstractNumId w:val="28"/>
  </w:num>
  <w:num w:numId="47" w16cid:durableId="1546603805">
    <w:abstractNumId w:val="38"/>
  </w:num>
  <w:num w:numId="48" w16cid:durableId="2119713339">
    <w:abstractNumId w:val="25"/>
  </w:num>
  <w:num w:numId="49" w16cid:durableId="6469334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7714C4"/>
    <w:rsid w:val="00000C93"/>
    <w:rsid w:val="000078C5"/>
    <w:rsid w:val="000263A4"/>
    <w:rsid w:val="00027905"/>
    <w:rsid w:val="00031BB9"/>
    <w:rsid w:val="00032F5B"/>
    <w:rsid w:val="00033EEE"/>
    <w:rsid w:val="000347BD"/>
    <w:rsid w:val="0004138D"/>
    <w:rsid w:val="00045587"/>
    <w:rsid w:val="0004777A"/>
    <w:rsid w:val="0004799B"/>
    <w:rsid w:val="00047B5C"/>
    <w:rsid w:val="00057F05"/>
    <w:rsid w:val="00073D3D"/>
    <w:rsid w:val="000747FA"/>
    <w:rsid w:val="0007502B"/>
    <w:rsid w:val="00080778"/>
    <w:rsid w:val="00083DED"/>
    <w:rsid w:val="00090342"/>
    <w:rsid w:val="00095214"/>
    <w:rsid w:val="000A2A3E"/>
    <w:rsid w:val="000A7E79"/>
    <w:rsid w:val="000B2013"/>
    <w:rsid w:val="000B4A4A"/>
    <w:rsid w:val="000B7EA2"/>
    <w:rsid w:val="000C18ED"/>
    <w:rsid w:val="000C38A1"/>
    <w:rsid w:val="000D2D10"/>
    <w:rsid w:val="000D661B"/>
    <w:rsid w:val="000E40EA"/>
    <w:rsid w:val="000F64EC"/>
    <w:rsid w:val="00101C6F"/>
    <w:rsid w:val="00103611"/>
    <w:rsid w:val="00114647"/>
    <w:rsid w:val="00124662"/>
    <w:rsid w:val="0012473C"/>
    <w:rsid w:val="0012720A"/>
    <w:rsid w:val="00137B7A"/>
    <w:rsid w:val="00141D27"/>
    <w:rsid w:val="00143B79"/>
    <w:rsid w:val="00145B37"/>
    <w:rsid w:val="00146646"/>
    <w:rsid w:val="001516B6"/>
    <w:rsid w:val="00155424"/>
    <w:rsid w:val="0016164A"/>
    <w:rsid w:val="0016638C"/>
    <w:rsid w:val="001742B6"/>
    <w:rsid w:val="00175848"/>
    <w:rsid w:val="00182463"/>
    <w:rsid w:val="001924DA"/>
    <w:rsid w:val="001952B1"/>
    <w:rsid w:val="001A2507"/>
    <w:rsid w:val="001B699F"/>
    <w:rsid w:val="001C63E6"/>
    <w:rsid w:val="001D24AA"/>
    <w:rsid w:val="001D3597"/>
    <w:rsid w:val="001D7ABA"/>
    <w:rsid w:val="001F0772"/>
    <w:rsid w:val="001F43FD"/>
    <w:rsid w:val="001F5C4F"/>
    <w:rsid w:val="001F69DF"/>
    <w:rsid w:val="001F7A96"/>
    <w:rsid w:val="00211268"/>
    <w:rsid w:val="002122D2"/>
    <w:rsid w:val="0022271B"/>
    <w:rsid w:val="00227388"/>
    <w:rsid w:val="00227798"/>
    <w:rsid w:val="00234A70"/>
    <w:rsid w:val="00256B08"/>
    <w:rsid w:val="00260C59"/>
    <w:rsid w:val="00264E30"/>
    <w:rsid w:val="00266ABC"/>
    <w:rsid w:val="0027232C"/>
    <w:rsid w:val="0028018A"/>
    <w:rsid w:val="00281608"/>
    <w:rsid w:val="00293CB5"/>
    <w:rsid w:val="00294D6E"/>
    <w:rsid w:val="00295354"/>
    <w:rsid w:val="002A394A"/>
    <w:rsid w:val="002A4EBD"/>
    <w:rsid w:val="002A4FED"/>
    <w:rsid w:val="002A55A0"/>
    <w:rsid w:val="002B49A7"/>
    <w:rsid w:val="002B6966"/>
    <w:rsid w:val="002C244C"/>
    <w:rsid w:val="002C2DCF"/>
    <w:rsid w:val="002C6255"/>
    <w:rsid w:val="002D0A11"/>
    <w:rsid w:val="002D5CEA"/>
    <w:rsid w:val="002D70C7"/>
    <w:rsid w:val="002E12B9"/>
    <w:rsid w:val="002E25A6"/>
    <w:rsid w:val="002E2DFD"/>
    <w:rsid w:val="002E319C"/>
    <w:rsid w:val="002F0FEB"/>
    <w:rsid w:val="002F2905"/>
    <w:rsid w:val="002F7E40"/>
    <w:rsid w:val="00304199"/>
    <w:rsid w:val="003075A1"/>
    <w:rsid w:val="003109F2"/>
    <w:rsid w:val="003112FE"/>
    <w:rsid w:val="00311940"/>
    <w:rsid w:val="00312572"/>
    <w:rsid w:val="00320362"/>
    <w:rsid w:val="00320ED5"/>
    <w:rsid w:val="00333977"/>
    <w:rsid w:val="00335E9D"/>
    <w:rsid w:val="00336887"/>
    <w:rsid w:val="0033722D"/>
    <w:rsid w:val="00357E90"/>
    <w:rsid w:val="00362C9F"/>
    <w:rsid w:val="00364FD6"/>
    <w:rsid w:val="00366342"/>
    <w:rsid w:val="003712AA"/>
    <w:rsid w:val="003715E7"/>
    <w:rsid w:val="003748F5"/>
    <w:rsid w:val="00376BEB"/>
    <w:rsid w:val="00382D2B"/>
    <w:rsid w:val="00383793"/>
    <w:rsid w:val="00385B8B"/>
    <w:rsid w:val="003904A5"/>
    <w:rsid w:val="00396AEF"/>
    <w:rsid w:val="003A0899"/>
    <w:rsid w:val="003A1F1A"/>
    <w:rsid w:val="003A6CC2"/>
    <w:rsid w:val="003B6703"/>
    <w:rsid w:val="003B6E1E"/>
    <w:rsid w:val="003B7964"/>
    <w:rsid w:val="003C33DA"/>
    <w:rsid w:val="003C3B83"/>
    <w:rsid w:val="003D2F40"/>
    <w:rsid w:val="003D5419"/>
    <w:rsid w:val="003D6615"/>
    <w:rsid w:val="003D68FC"/>
    <w:rsid w:val="003E078D"/>
    <w:rsid w:val="003E1E19"/>
    <w:rsid w:val="003E21B1"/>
    <w:rsid w:val="003E2FF8"/>
    <w:rsid w:val="003E3F4C"/>
    <w:rsid w:val="003E6945"/>
    <w:rsid w:val="003F1007"/>
    <w:rsid w:val="003F144E"/>
    <w:rsid w:val="003F2D91"/>
    <w:rsid w:val="00400D00"/>
    <w:rsid w:val="00404C97"/>
    <w:rsid w:val="00412E88"/>
    <w:rsid w:val="00414E0B"/>
    <w:rsid w:val="00414FA2"/>
    <w:rsid w:val="00417996"/>
    <w:rsid w:val="00423BE1"/>
    <w:rsid w:val="004325AB"/>
    <w:rsid w:val="00435E7C"/>
    <w:rsid w:val="00437ABD"/>
    <w:rsid w:val="00444B9E"/>
    <w:rsid w:val="00444ED5"/>
    <w:rsid w:val="00455D7A"/>
    <w:rsid w:val="004627D1"/>
    <w:rsid w:val="0046449D"/>
    <w:rsid w:val="004648E8"/>
    <w:rsid w:val="00476D2C"/>
    <w:rsid w:val="00480B4B"/>
    <w:rsid w:val="0048102B"/>
    <w:rsid w:val="00486CC6"/>
    <w:rsid w:val="0049089E"/>
    <w:rsid w:val="0049330B"/>
    <w:rsid w:val="004A1617"/>
    <w:rsid w:val="004A1D46"/>
    <w:rsid w:val="004A2A83"/>
    <w:rsid w:val="004A39D8"/>
    <w:rsid w:val="004B0E26"/>
    <w:rsid w:val="004B20D0"/>
    <w:rsid w:val="004B5B05"/>
    <w:rsid w:val="004B77DF"/>
    <w:rsid w:val="004C04CA"/>
    <w:rsid w:val="004C0D35"/>
    <w:rsid w:val="004C15FD"/>
    <w:rsid w:val="004C7A88"/>
    <w:rsid w:val="004D4387"/>
    <w:rsid w:val="004D5C00"/>
    <w:rsid w:val="004E34FA"/>
    <w:rsid w:val="00500CC9"/>
    <w:rsid w:val="00506997"/>
    <w:rsid w:val="00515A0F"/>
    <w:rsid w:val="00522A45"/>
    <w:rsid w:val="00523BC2"/>
    <w:rsid w:val="0052688A"/>
    <w:rsid w:val="00536F38"/>
    <w:rsid w:val="00537A04"/>
    <w:rsid w:val="00545057"/>
    <w:rsid w:val="0056117F"/>
    <w:rsid w:val="00571767"/>
    <w:rsid w:val="005745A6"/>
    <w:rsid w:val="00575747"/>
    <w:rsid w:val="005768DB"/>
    <w:rsid w:val="00580BD4"/>
    <w:rsid w:val="0058592C"/>
    <w:rsid w:val="00591CA7"/>
    <w:rsid w:val="00592900"/>
    <w:rsid w:val="00594D5F"/>
    <w:rsid w:val="005A15B3"/>
    <w:rsid w:val="005B48F9"/>
    <w:rsid w:val="005B7E54"/>
    <w:rsid w:val="005C2AF2"/>
    <w:rsid w:val="005C3D20"/>
    <w:rsid w:val="005C4218"/>
    <w:rsid w:val="005D02B4"/>
    <w:rsid w:val="005D41FB"/>
    <w:rsid w:val="005D7794"/>
    <w:rsid w:val="005E2097"/>
    <w:rsid w:val="005F1B8C"/>
    <w:rsid w:val="005F3B92"/>
    <w:rsid w:val="005F3F1A"/>
    <w:rsid w:val="005F5331"/>
    <w:rsid w:val="005F5659"/>
    <w:rsid w:val="005F56D2"/>
    <w:rsid w:val="006021B4"/>
    <w:rsid w:val="00603628"/>
    <w:rsid w:val="006063D8"/>
    <w:rsid w:val="00612FAD"/>
    <w:rsid w:val="00621B86"/>
    <w:rsid w:val="00622BAD"/>
    <w:rsid w:val="00627693"/>
    <w:rsid w:val="00634CD9"/>
    <w:rsid w:val="00661913"/>
    <w:rsid w:val="00661BC2"/>
    <w:rsid w:val="006639B8"/>
    <w:rsid w:val="00671342"/>
    <w:rsid w:val="006768B2"/>
    <w:rsid w:val="00680092"/>
    <w:rsid w:val="0069041E"/>
    <w:rsid w:val="0069056F"/>
    <w:rsid w:val="00692A81"/>
    <w:rsid w:val="006956BB"/>
    <w:rsid w:val="00696DD1"/>
    <w:rsid w:val="006B10D2"/>
    <w:rsid w:val="006B5BFD"/>
    <w:rsid w:val="006C27BB"/>
    <w:rsid w:val="006C6EFE"/>
    <w:rsid w:val="006D03CC"/>
    <w:rsid w:val="006D1298"/>
    <w:rsid w:val="006D67E9"/>
    <w:rsid w:val="006D70AD"/>
    <w:rsid w:val="006E1D07"/>
    <w:rsid w:val="006E687B"/>
    <w:rsid w:val="006E6956"/>
    <w:rsid w:val="006F14E3"/>
    <w:rsid w:val="006F42E3"/>
    <w:rsid w:val="00700CE8"/>
    <w:rsid w:val="00704135"/>
    <w:rsid w:val="00705078"/>
    <w:rsid w:val="007172F6"/>
    <w:rsid w:val="00720EBF"/>
    <w:rsid w:val="00733C45"/>
    <w:rsid w:val="00740B2D"/>
    <w:rsid w:val="00745DC5"/>
    <w:rsid w:val="007714C4"/>
    <w:rsid w:val="00790F98"/>
    <w:rsid w:val="007944E0"/>
    <w:rsid w:val="007A2DBA"/>
    <w:rsid w:val="007A3C09"/>
    <w:rsid w:val="007A4CE2"/>
    <w:rsid w:val="007B296C"/>
    <w:rsid w:val="007B5D42"/>
    <w:rsid w:val="007B6D13"/>
    <w:rsid w:val="007B7F49"/>
    <w:rsid w:val="007C2A1B"/>
    <w:rsid w:val="007C44C6"/>
    <w:rsid w:val="007C69EE"/>
    <w:rsid w:val="007D524A"/>
    <w:rsid w:val="007D7456"/>
    <w:rsid w:val="008006CB"/>
    <w:rsid w:val="008038D8"/>
    <w:rsid w:val="00804670"/>
    <w:rsid w:val="0082353C"/>
    <w:rsid w:val="008266B2"/>
    <w:rsid w:val="00827A88"/>
    <w:rsid w:val="00836375"/>
    <w:rsid w:val="00837866"/>
    <w:rsid w:val="00846997"/>
    <w:rsid w:val="008470F2"/>
    <w:rsid w:val="0085674D"/>
    <w:rsid w:val="00862905"/>
    <w:rsid w:val="00862ADB"/>
    <w:rsid w:val="008663CB"/>
    <w:rsid w:val="0088277F"/>
    <w:rsid w:val="0088369B"/>
    <w:rsid w:val="00887F65"/>
    <w:rsid w:val="00890CC3"/>
    <w:rsid w:val="00892ACF"/>
    <w:rsid w:val="008939E4"/>
    <w:rsid w:val="008A36AC"/>
    <w:rsid w:val="008A3993"/>
    <w:rsid w:val="008A6A03"/>
    <w:rsid w:val="008A6C42"/>
    <w:rsid w:val="008B15F3"/>
    <w:rsid w:val="008B6C2B"/>
    <w:rsid w:val="008E4845"/>
    <w:rsid w:val="008F01A5"/>
    <w:rsid w:val="008F5791"/>
    <w:rsid w:val="008F6AA8"/>
    <w:rsid w:val="009009FE"/>
    <w:rsid w:val="00901E18"/>
    <w:rsid w:val="0090539E"/>
    <w:rsid w:val="0091635C"/>
    <w:rsid w:val="00934471"/>
    <w:rsid w:val="00946940"/>
    <w:rsid w:val="00955A02"/>
    <w:rsid w:val="00956EDC"/>
    <w:rsid w:val="00956F6C"/>
    <w:rsid w:val="00961AC1"/>
    <w:rsid w:val="00965E76"/>
    <w:rsid w:val="009660C7"/>
    <w:rsid w:val="00971167"/>
    <w:rsid w:val="0097764F"/>
    <w:rsid w:val="009852AC"/>
    <w:rsid w:val="00991599"/>
    <w:rsid w:val="009A0FD7"/>
    <w:rsid w:val="009A2805"/>
    <w:rsid w:val="009A294D"/>
    <w:rsid w:val="009A2A87"/>
    <w:rsid w:val="009A36CF"/>
    <w:rsid w:val="009A693C"/>
    <w:rsid w:val="009A74B7"/>
    <w:rsid w:val="009B3076"/>
    <w:rsid w:val="009B36C7"/>
    <w:rsid w:val="009B5505"/>
    <w:rsid w:val="009C4E5B"/>
    <w:rsid w:val="009D6994"/>
    <w:rsid w:val="009E7C98"/>
    <w:rsid w:val="009F5883"/>
    <w:rsid w:val="009F7EB6"/>
    <w:rsid w:val="00A01DDF"/>
    <w:rsid w:val="00A057D1"/>
    <w:rsid w:val="00A14473"/>
    <w:rsid w:val="00A15990"/>
    <w:rsid w:val="00A30AF8"/>
    <w:rsid w:val="00A32AF4"/>
    <w:rsid w:val="00A37DAB"/>
    <w:rsid w:val="00A40AA3"/>
    <w:rsid w:val="00A417C5"/>
    <w:rsid w:val="00A434F4"/>
    <w:rsid w:val="00A51128"/>
    <w:rsid w:val="00A577AB"/>
    <w:rsid w:val="00A65BB8"/>
    <w:rsid w:val="00A65C6D"/>
    <w:rsid w:val="00A6665B"/>
    <w:rsid w:val="00A70AF5"/>
    <w:rsid w:val="00A70C9E"/>
    <w:rsid w:val="00A766BE"/>
    <w:rsid w:val="00A81E19"/>
    <w:rsid w:val="00A83D38"/>
    <w:rsid w:val="00A85B93"/>
    <w:rsid w:val="00A85D21"/>
    <w:rsid w:val="00A8676E"/>
    <w:rsid w:val="00A96439"/>
    <w:rsid w:val="00AA102E"/>
    <w:rsid w:val="00AA1D16"/>
    <w:rsid w:val="00AA34CB"/>
    <w:rsid w:val="00AB1550"/>
    <w:rsid w:val="00AC3A4E"/>
    <w:rsid w:val="00AD5CFD"/>
    <w:rsid w:val="00AD64A9"/>
    <w:rsid w:val="00AD66C4"/>
    <w:rsid w:val="00AE54AA"/>
    <w:rsid w:val="00AE5759"/>
    <w:rsid w:val="00AF3887"/>
    <w:rsid w:val="00AF4328"/>
    <w:rsid w:val="00AF619D"/>
    <w:rsid w:val="00AF6A0C"/>
    <w:rsid w:val="00B00FCE"/>
    <w:rsid w:val="00B0323A"/>
    <w:rsid w:val="00B0620F"/>
    <w:rsid w:val="00B06835"/>
    <w:rsid w:val="00B06C10"/>
    <w:rsid w:val="00B077A0"/>
    <w:rsid w:val="00B16D6A"/>
    <w:rsid w:val="00B1743B"/>
    <w:rsid w:val="00B202E5"/>
    <w:rsid w:val="00B236BC"/>
    <w:rsid w:val="00B344F7"/>
    <w:rsid w:val="00B35FDC"/>
    <w:rsid w:val="00B37EB9"/>
    <w:rsid w:val="00B47EA7"/>
    <w:rsid w:val="00B52C43"/>
    <w:rsid w:val="00B60D0D"/>
    <w:rsid w:val="00B63521"/>
    <w:rsid w:val="00B72C9D"/>
    <w:rsid w:val="00B77EB2"/>
    <w:rsid w:val="00B816EF"/>
    <w:rsid w:val="00B871BA"/>
    <w:rsid w:val="00B97337"/>
    <w:rsid w:val="00BA28A6"/>
    <w:rsid w:val="00BA321D"/>
    <w:rsid w:val="00BA48F0"/>
    <w:rsid w:val="00BA6E19"/>
    <w:rsid w:val="00BB0977"/>
    <w:rsid w:val="00BB0C19"/>
    <w:rsid w:val="00BB1C8B"/>
    <w:rsid w:val="00BB1CBC"/>
    <w:rsid w:val="00BB580A"/>
    <w:rsid w:val="00BC2A64"/>
    <w:rsid w:val="00BD2DD2"/>
    <w:rsid w:val="00BD36F8"/>
    <w:rsid w:val="00BD446F"/>
    <w:rsid w:val="00BD7D2D"/>
    <w:rsid w:val="00BD7E82"/>
    <w:rsid w:val="00BE07F5"/>
    <w:rsid w:val="00BE35ED"/>
    <w:rsid w:val="00BE6A1C"/>
    <w:rsid w:val="00C0367C"/>
    <w:rsid w:val="00C161E0"/>
    <w:rsid w:val="00C17B72"/>
    <w:rsid w:val="00C21416"/>
    <w:rsid w:val="00C2290D"/>
    <w:rsid w:val="00C2316E"/>
    <w:rsid w:val="00C25574"/>
    <w:rsid w:val="00C3245E"/>
    <w:rsid w:val="00C32E3A"/>
    <w:rsid w:val="00C3779B"/>
    <w:rsid w:val="00C404E3"/>
    <w:rsid w:val="00C41B97"/>
    <w:rsid w:val="00C46A25"/>
    <w:rsid w:val="00C46EB3"/>
    <w:rsid w:val="00C50B70"/>
    <w:rsid w:val="00C71382"/>
    <w:rsid w:val="00C72559"/>
    <w:rsid w:val="00C757F4"/>
    <w:rsid w:val="00C75B87"/>
    <w:rsid w:val="00C76877"/>
    <w:rsid w:val="00C816FA"/>
    <w:rsid w:val="00C83389"/>
    <w:rsid w:val="00C8466E"/>
    <w:rsid w:val="00C8540B"/>
    <w:rsid w:val="00C87F18"/>
    <w:rsid w:val="00C91916"/>
    <w:rsid w:val="00C949EB"/>
    <w:rsid w:val="00C95C7E"/>
    <w:rsid w:val="00CA0840"/>
    <w:rsid w:val="00CA46CE"/>
    <w:rsid w:val="00CA528E"/>
    <w:rsid w:val="00CA6F1B"/>
    <w:rsid w:val="00CA706F"/>
    <w:rsid w:val="00CB31FC"/>
    <w:rsid w:val="00CB5024"/>
    <w:rsid w:val="00CB7D93"/>
    <w:rsid w:val="00CC6483"/>
    <w:rsid w:val="00CD3539"/>
    <w:rsid w:val="00CD559D"/>
    <w:rsid w:val="00CD6268"/>
    <w:rsid w:val="00CE06C8"/>
    <w:rsid w:val="00CE1594"/>
    <w:rsid w:val="00CF0658"/>
    <w:rsid w:val="00CF21C0"/>
    <w:rsid w:val="00CF3288"/>
    <w:rsid w:val="00CF41C1"/>
    <w:rsid w:val="00D04C6D"/>
    <w:rsid w:val="00D05760"/>
    <w:rsid w:val="00D168DF"/>
    <w:rsid w:val="00D221CC"/>
    <w:rsid w:val="00D22558"/>
    <w:rsid w:val="00D23C94"/>
    <w:rsid w:val="00D25BF9"/>
    <w:rsid w:val="00D26D96"/>
    <w:rsid w:val="00D329BE"/>
    <w:rsid w:val="00D365B5"/>
    <w:rsid w:val="00D47013"/>
    <w:rsid w:val="00D5116A"/>
    <w:rsid w:val="00D53A54"/>
    <w:rsid w:val="00D62BC9"/>
    <w:rsid w:val="00D75BFB"/>
    <w:rsid w:val="00D80298"/>
    <w:rsid w:val="00D8639A"/>
    <w:rsid w:val="00D87971"/>
    <w:rsid w:val="00D91EA2"/>
    <w:rsid w:val="00D9282F"/>
    <w:rsid w:val="00DA1F79"/>
    <w:rsid w:val="00DC3BBF"/>
    <w:rsid w:val="00DC5163"/>
    <w:rsid w:val="00DD7171"/>
    <w:rsid w:val="00DE3203"/>
    <w:rsid w:val="00DF029B"/>
    <w:rsid w:val="00DF11DE"/>
    <w:rsid w:val="00DF4FB3"/>
    <w:rsid w:val="00DF790D"/>
    <w:rsid w:val="00E0497D"/>
    <w:rsid w:val="00E07645"/>
    <w:rsid w:val="00E24EB6"/>
    <w:rsid w:val="00E253D1"/>
    <w:rsid w:val="00E2582C"/>
    <w:rsid w:val="00E2590D"/>
    <w:rsid w:val="00E25E6E"/>
    <w:rsid w:val="00E40AA5"/>
    <w:rsid w:val="00E4384E"/>
    <w:rsid w:val="00E43CA3"/>
    <w:rsid w:val="00E4745F"/>
    <w:rsid w:val="00E51963"/>
    <w:rsid w:val="00E52807"/>
    <w:rsid w:val="00E622DF"/>
    <w:rsid w:val="00E65D05"/>
    <w:rsid w:val="00E662C2"/>
    <w:rsid w:val="00E66F2C"/>
    <w:rsid w:val="00E72C70"/>
    <w:rsid w:val="00E73C3E"/>
    <w:rsid w:val="00E7610A"/>
    <w:rsid w:val="00E84031"/>
    <w:rsid w:val="00E97005"/>
    <w:rsid w:val="00E972DB"/>
    <w:rsid w:val="00EB5D9C"/>
    <w:rsid w:val="00EC6AB5"/>
    <w:rsid w:val="00ED2000"/>
    <w:rsid w:val="00ED5E50"/>
    <w:rsid w:val="00EE0209"/>
    <w:rsid w:val="00EE0949"/>
    <w:rsid w:val="00F01476"/>
    <w:rsid w:val="00F02A56"/>
    <w:rsid w:val="00F165FF"/>
    <w:rsid w:val="00F2445E"/>
    <w:rsid w:val="00F30BA2"/>
    <w:rsid w:val="00F3149C"/>
    <w:rsid w:val="00F334DB"/>
    <w:rsid w:val="00F33AF3"/>
    <w:rsid w:val="00F36C7D"/>
    <w:rsid w:val="00F41384"/>
    <w:rsid w:val="00F52CFF"/>
    <w:rsid w:val="00F54BDD"/>
    <w:rsid w:val="00F6546F"/>
    <w:rsid w:val="00F66907"/>
    <w:rsid w:val="00F717C5"/>
    <w:rsid w:val="00F74086"/>
    <w:rsid w:val="00F74F12"/>
    <w:rsid w:val="00F84A78"/>
    <w:rsid w:val="00F91FD6"/>
    <w:rsid w:val="00F94352"/>
    <w:rsid w:val="00FA0475"/>
    <w:rsid w:val="00FA5CA5"/>
    <w:rsid w:val="00FB0800"/>
    <w:rsid w:val="00FB3A5A"/>
    <w:rsid w:val="00FC0D64"/>
    <w:rsid w:val="00FC10D6"/>
    <w:rsid w:val="00FC1A9B"/>
    <w:rsid w:val="00FD659F"/>
    <w:rsid w:val="00FE1AB3"/>
    <w:rsid w:val="00FE4842"/>
    <w:rsid w:val="00FE6A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02853"/>
  <w15:docId w15:val="{2BF73324-48AF-441B-947A-4E325DD6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BB0C19"/>
    <w:pPr>
      <w:keepNext/>
      <w:spacing w:before="240" w:after="60" w:line="240" w:lineRule="auto"/>
      <w:outlineLvl w:val="1"/>
    </w:pPr>
    <w:rPr>
      <w:rFonts w:ascii="Arial" w:eastAsia="Times New Roman" w:hAnsi="Arial" w:cs="Arial"/>
      <w:b/>
      <w:bCs/>
      <w:i/>
      <w:iCs/>
      <w:sz w:val="28"/>
      <w:szCs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D7A"/>
    <w:pPr>
      <w:ind w:left="720"/>
      <w:contextualSpacing/>
    </w:pPr>
  </w:style>
  <w:style w:type="paragraph" w:styleId="BalloonText">
    <w:name w:val="Balloon Text"/>
    <w:basedOn w:val="Normal"/>
    <w:link w:val="BalloonTextChar"/>
    <w:uiPriority w:val="99"/>
    <w:semiHidden/>
    <w:unhideWhenUsed/>
    <w:rsid w:val="00B97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337"/>
    <w:rPr>
      <w:rFonts w:ascii="Segoe UI" w:hAnsi="Segoe UI" w:cs="Segoe UI"/>
      <w:sz w:val="18"/>
      <w:szCs w:val="18"/>
    </w:rPr>
  </w:style>
  <w:style w:type="character" w:styleId="CommentReference">
    <w:name w:val="annotation reference"/>
    <w:basedOn w:val="DefaultParagraphFont"/>
    <w:uiPriority w:val="99"/>
    <w:semiHidden/>
    <w:unhideWhenUsed/>
    <w:rsid w:val="00BA321D"/>
    <w:rPr>
      <w:sz w:val="16"/>
      <w:szCs w:val="16"/>
    </w:rPr>
  </w:style>
  <w:style w:type="paragraph" w:styleId="CommentText">
    <w:name w:val="annotation text"/>
    <w:basedOn w:val="Normal"/>
    <w:link w:val="CommentTextChar"/>
    <w:uiPriority w:val="99"/>
    <w:semiHidden/>
    <w:unhideWhenUsed/>
    <w:rsid w:val="00BA321D"/>
    <w:pPr>
      <w:spacing w:line="240" w:lineRule="auto"/>
    </w:pPr>
    <w:rPr>
      <w:sz w:val="20"/>
      <w:szCs w:val="20"/>
    </w:rPr>
  </w:style>
  <w:style w:type="character" w:customStyle="1" w:styleId="CommentTextChar">
    <w:name w:val="Comment Text Char"/>
    <w:basedOn w:val="DefaultParagraphFont"/>
    <w:link w:val="CommentText"/>
    <w:uiPriority w:val="99"/>
    <w:semiHidden/>
    <w:rsid w:val="00BA321D"/>
    <w:rPr>
      <w:sz w:val="20"/>
      <w:szCs w:val="20"/>
    </w:rPr>
  </w:style>
  <w:style w:type="paragraph" w:styleId="CommentSubject">
    <w:name w:val="annotation subject"/>
    <w:basedOn w:val="CommentText"/>
    <w:next w:val="CommentText"/>
    <w:link w:val="CommentSubjectChar"/>
    <w:uiPriority w:val="99"/>
    <w:semiHidden/>
    <w:unhideWhenUsed/>
    <w:rsid w:val="00BA321D"/>
    <w:rPr>
      <w:b/>
      <w:bCs/>
    </w:rPr>
  </w:style>
  <w:style w:type="character" w:customStyle="1" w:styleId="CommentSubjectChar">
    <w:name w:val="Comment Subject Char"/>
    <w:basedOn w:val="CommentTextChar"/>
    <w:link w:val="CommentSubject"/>
    <w:uiPriority w:val="99"/>
    <w:semiHidden/>
    <w:rsid w:val="00BA321D"/>
    <w:rPr>
      <w:b/>
      <w:bCs/>
      <w:sz w:val="20"/>
      <w:szCs w:val="20"/>
    </w:rPr>
  </w:style>
  <w:style w:type="paragraph" w:styleId="Revision">
    <w:name w:val="Revision"/>
    <w:hidden/>
    <w:uiPriority w:val="99"/>
    <w:semiHidden/>
    <w:rsid w:val="00BA321D"/>
    <w:pPr>
      <w:spacing w:after="0" w:line="240" w:lineRule="auto"/>
    </w:pPr>
  </w:style>
  <w:style w:type="numbering" w:customStyle="1" w:styleId="NoList1">
    <w:name w:val="No List1"/>
    <w:next w:val="NoList"/>
    <w:uiPriority w:val="99"/>
    <w:semiHidden/>
    <w:unhideWhenUsed/>
    <w:rsid w:val="00887F65"/>
  </w:style>
  <w:style w:type="paragraph" w:customStyle="1" w:styleId="NormalHighlight">
    <w:name w:val="Normal Highlight"/>
    <w:basedOn w:val="Normal"/>
    <w:uiPriority w:val="99"/>
    <w:rsid w:val="00887F65"/>
    <w:pPr>
      <w:keepLines/>
      <w:widowControl w:val="0"/>
      <w:autoSpaceDE w:val="0"/>
      <w:autoSpaceDN w:val="0"/>
      <w:adjustRightInd w:val="0"/>
      <w:spacing w:after="0" w:line="240" w:lineRule="auto"/>
    </w:pPr>
    <w:rPr>
      <w:rFonts w:ascii="Times New Roman" w:eastAsia="Times New Roman" w:hAnsi="Times New Roman" w:cs="Times New Roman"/>
      <w:b/>
      <w:bCs/>
      <w:sz w:val="20"/>
      <w:szCs w:val="20"/>
      <w:lang w:eastAsia="en-GB"/>
    </w:rPr>
  </w:style>
  <w:style w:type="paragraph" w:customStyle="1" w:styleId="NormalUnderlineHighlight">
    <w:name w:val="Normal Underline Highlight"/>
    <w:basedOn w:val="Normal"/>
    <w:uiPriority w:val="99"/>
    <w:rsid w:val="00887F65"/>
    <w:pPr>
      <w:keepLines/>
      <w:widowControl w:val="0"/>
      <w:autoSpaceDE w:val="0"/>
      <w:autoSpaceDN w:val="0"/>
      <w:adjustRightInd w:val="0"/>
      <w:spacing w:after="0" w:line="240" w:lineRule="auto"/>
    </w:pPr>
    <w:rPr>
      <w:rFonts w:ascii="Times New Roman" w:eastAsia="Times New Roman" w:hAnsi="Times New Roman" w:cs="Times New Roman"/>
      <w:b/>
      <w:bCs/>
      <w:sz w:val="20"/>
      <w:szCs w:val="20"/>
      <w:u w:val="single"/>
      <w:lang w:eastAsia="en-GB"/>
    </w:rPr>
  </w:style>
  <w:style w:type="paragraph" w:customStyle="1" w:styleId="NormalUnderline">
    <w:name w:val="Normal Underline"/>
    <w:basedOn w:val="Normal"/>
    <w:uiPriority w:val="99"/>
    <w:rsid w:val="00887F65"/>
    <w:pPr>
      <w:keepLines/>
      <w:widowControl w:val="0"/>
      <w:autoSpaceDE w:val="0"/>
      <w:autoSpaceDN w:val="0"/>
      <w:adjustRightInd w:val="0"/>
      <w:spacing w:after="0" w:line="240" w:lineRule="auto"/>
    </w:pPr>
    <w:rPr>
      <w:rFonts w:ascii="Times New Roman" w:eastAsia="Times New Roman" w:hAnsi="Times New Roman" w:cs="Times New Roman"/>
      <w:sz w:val="20"/>
      <w:szCs w:val="20"/>
      <w:u w:val="single"/>
      <w:lang w:eastAsia="en-GB"/>
    </w:rPr>
  </w:style>
  <w:style w:type="paragraph" w:customStyle="1" w:styleId="PageTitle">
    <w:name w:val="Page Title"/>
    <w:basedOn w:val="Normal"/>
    <w:uiPriority w:val="99"/>
    <w:rsid w:val="00887F65"/>
    <w:pPr>
      <w:keepLines/>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customStyle="1" w:styleId="PageTitleHighlight">
    <w:name w:val="Page Title Highlight"/>
    <w:basedOn w:val="PageTitle"/>
    <w:uiPriority w:val="99"/>
    <w:rsid w:val="00887F65"/>
    <w:rPr>
      <w:b/>
      <w:bCs/>
    </w:rPr>
  </w:style>
  <w:style w:type="paragraph" w:customStyle="1" w:styleId="PageTitleUnderlineHighlight">
    <w:name w:val="Page Title Underline Highlight"/>
    <w:basedOn w:val="PageTitle"/>
    <w:uiPriority w:val="99"/>
    <w:rsid w:val="00887F65"/>
    <w:rPr>
      <w:b/>
      <w:bCs/>
      <w:u w:val="single"/>
    </w:rPr>
  </w:style>
  <w:style w:type="paragraph" w:customStyle="1" w:styleId="PageTitleUnderline">
    <w:name w:val="Page Title Underline"/>
    <w:basedOn w:val="PageTitle"/>
    <w:uiPriority w:val="99"/>
    <w:rsid w:val="00887F65"/>
    <w:rPr>
      <w:u w:val="single"/>
    </w:rPr>
  </w:style>
  <w:style w:type="paragraph" w:customStyle="1" w:styleId="PageHead">
    <w:name w:val="Page Head"/>
    <w:basedOn w:val="Normal"/>
    <w:uiPriority w:val="99"/>
    <w:rsid w:val="00887F65"/>
    <w:pPr>
      <w:keepLines/>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customStyle="1" w:styleId="PageHeadHighlight">
    <w:name w:val="Page Head Highlight"/>
    <w:basedOn w:val="PageHead"/>
    <w:uiPriority w:val="99"/>
    <w:rsid w:val="00887F65"/>
    <w:rPr>
      <w:b/>
      <w:bCs/>
    </w:rPr>
  </w:style>
  <w:style w:type="paragraph" w:customStyle="1" w:styleId="PageHeadUnderlineHighlight">
    <w:name w:val="Page Head Underline Highlight"/>
    <w:basedOn w:val="PageHead"/>
    <w:uiPriority w:val="99"/>
    <w:rsid w:val="00887F65"/>
    <w:rPr>
      <w:b/>
      <w:bCs/>
      <w:u w:val="single"/>
    </w:rPr>
  </w:style>
  <w:style w:type="paragraph" w:customStyle="1" w:styleId="PageHeadUnderline">
    <w:name w:val="Page Head Underline"/>
    <w:basedOn w:val="PageHead"/>
    <w:uiPriority w:val="99"/>
    <w:rsid w:val="00887F65"/>
    <w:rPr>
      <w:u w:val="single"/>
    </w:rPr>
  </w:style>
  <w:style w:type="paragraph" w:customStyle="1" w:styleId="Subheading">
    <w:name w:val="Subheading"/>
    <w:basedOn w:val="Normal"/>
    <w:uiPriority w:val="99"/>
    <w:rsid w:val="00887F65"/>
    <w:pPr>
      <w:keepLines/>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customStyle="1" w:styleId="SubheadingHighlight">
    <w:name w:val="Subheading Highlight"/>
    <w:basedOn w:val="Subheading"/>
    <w:uiPriority w:val="99"/>
    <w:rsid w:val="00887F65"/>
    <w:rPr>
      <w:b/>
      <w:bCs/>
    </w:rPr>
  </w:style>
  <w:style w:type="paragraph" w:customStyle="1" w:styleId="SubheadingUnderlineHighlight">
    <w:name w:val="Subheading Underline Highlight"/>
    <w:basedOn w:val="Subheading"/>
    <w:uiPriority w:val="99"/>
    <w:rsid w:val="00887F65"/>
    <w:rPr>
      <w:b/>
      <w:bCs/>
      <w:u w:val="single"/>
    </w:rPr>
  </w:style>
  <w:style w:type="paragraph" w:customStyle="1" w:styleId="SubheadingUnderline">
    <w:name w:val="Subheading Underline"/>
    <w:basedOn w:val="Subheading"/>
    <w:uiPriority w:val="99"/>
    <w:rsid w:val="00887F65"/>
    <w:rPr>
      <w:u w:val="single"/>
    </w:rPr>
  </w:style>
  <w:style w:type="paragraph" w:customStyle="1" w:styleId="ColumnHead">
    <w:name w:val="Column Head"/>
    <w:basedOn w:val="Normal"/>
    <w:uiPriority w:val="99"/>
    <w:rsid w:val="00887F65"/>
    <w:pPr>
      <w:keepLines/>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customStyle="1" w:styleId="ColumnHeadHighlight">
    <w:name w:val="Column Head Highlight"/>
    <w:basedOn w:val="ColumnHead"/>
    <w:uiPriority w:val="99"/>
    <w:rsid w:val="00887F65"/>
    <w:rPr>
      <w:b/>
      <w:bCs/>
    </w:rPr>
  </w:style>
  <w:style w:type="paragraph" w:customStyle="1" w:styleId="ColumnHeadUnderlineHighlight">
    <w:name w:val="Column Head Underline Highlight"/>
    <w:basedOn w:val="ColumnHead"/>
    <w:uiPriority w:val="99"/>
    <w:rsid w:val="00887F65"/>
    <w:rPr>
      <w:b/>
      <w:bCs/>
      <w:u w:val="single"/>
    </w:rPr>
  </w:style>
  <w:style w:type="paragraph" w:customStyle="1" w:styleId="ColumnHeadUnderline">
    <w:name w:val="Column Head Underline"/>
    <w:basedOn w:val="ColumnHead"/>
    <w:uiPriority w:val="99"/>
    <w:rsid w:val="00887F65"/>
    <w:rPr>
      <w:u w:val="single"/>
    </w:rPr>
  </w:style>
  <w:style w:type="paragraph" w:customStyle="1" w:styleId="Number">
    <w:name w:val="Number"/>
    <w:basedOn w:val="Normal"/>
    <w:uiPriority w:val="99"/>
    <w:rsid w:val="00887F65"/>
    <w:pPr>
      <w:keepLines/>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customStyle="1" w:styleId="NumberHighlight">
    <w:name w:val="Number Highlight"/>
    <w:basedOn w:val="Number"/>
    <w:uiPriority w:val="99"/>
    <w:rsid w:val="00887F65"/>
    <w:rPr>
      <w:b/>
      <w:bCs/>
    </w:rPr>
  </w:style>
  <w:style w:type="paragraph" w:customStyle="1" w:styleId="NumberUnderlineHighlight">
    <w:name w:val="Number Underline Highlight"/>
    <w:basedOn w:val="Number"/>
    <w:uiPriority w:val="99"/>
    <w:rsid w:val="00887F65"/>
    <w:rPr>
      <w:b/>
      <w:bCs/>
      <w:u w:val="single"/>
    </w:rPr>
  </w:style>
  <w:style w:type="paragraph" w:customStyle="1" w:styleId="NumberUnderline">
    <w:name w:val="Number Underline"/>
    <w:basedOn w:val="Number"/>
    <w:uiPriority w:val="99"/>
    <w:rsid w:val="00887F65"/>
    <w:rPr>
      <w:u w:val="single"/>
    </w:rPr>
  </w:style>
  <w:style w:type="paragraph" w:customStyle="1" w:styleId="NegativeNumber">
    <w:name w:val="Negative Number"/>
    <w:basedOn w:val="Normal"/>
    <w:uiPriority w:val="99"/>
    <w:rsid w:val="00887F65"/>
    <w:pPr>
      <w:keepLines/>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customStyle="1" w:styleId="NegativeNumberHighlight">
    <w:name w:val="Negative Number Highlight"/>
    <w:basedOn w:val="NegativeNumber"/>
    <w:uiPriority w:val="99"/>
    <w:rsid w:val="00887F65"/>
    <w:rPr>
      <w:b/>
      <w:bCs/>
    </w:rPr>
  </w:style>
  <w:style w:type="paragraph" w:customStyle="1" w:styleId="NegativeNumberUnderlineHighlight">
    <w:name w:val="Negative Number Underline Highlight"/>
    <w:basedOn w:val="NegativeNumber"/>
    <w:uiPriority w:val="99"/>
    <w:rsid w:val="00887F65"/>
    <w:rPr>
      <w:b/>
      <w:bCs/>
      <w:u w:val="single"/>
    </w:rPr>
  </w:style>
  <w:style w:type="paragraph" w:customStyle="1" w:styleId="NegativeNumberUnderline">
    <w:name w:val="Negative Number Underline"/>
    <w:basedOn w:val="NegativeNumber"/>
    <w:uiPriority w:val="99"/>
    <w:rsid w:val="00887F65"/>
    <w:rPr>
      <w:u w:val="single"/>
    </w:rPr>
  </w:style>
  <w:style w:type="paragraph" w:customStyle="1" w:styleId="Footing">
    <w:name w:val="Footing"/>
    <w:basedOn w:val="Normal"/>
    <w:uiPriority w:val="99"/>
    <w:rsid w:val="00887F65"/>
    <w:pPr>
      <w:keepLines/>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customStyle="1" w:styleId="FootingHighlight">
    <w:name w:val="Footing Highlight"/>
    <w:basedOn w:val="Footing"/>
    <w:uiPriority w:val="99"/>
    <w:rsid w:val="00887F65"/>
    <w:rPr>
      <w:b/>
      <w:bCs/>
    </w:rPr>
  </w:style>
  <w:style w:type="paragraph" w:customStyle="1" w:styleId="FootingUnderlineHighlight">
    <w:name w:val="Footing Underline Highlight"/>
    <w:basedOn w:val="Footing"/>
    <w:uiPriority w:val="99"/>
    <w:rsid w:val="00887F65"/>
    <w:rPr>
      <w:b/>
      <w:bCs/>
      <w:u w:val="single"/>
    </w:rPr>
  </w:style>
  <w:style w:type="paragraph" w:customStyle="1" w:styleId="FootingUnderline">
    <w:name w:val="Footing Underline"/>
    <w:basedOn w:val="Footing"/>
    <w:uiPriority w:val="99"/>
    <w:rsid w:val="00887F65"/>
    <w:rPr>
      <w:u w:val="single"/>
    </w:rPr>
  </w:style>
  <w:style w:type="paragraph" w:customStyle="1" w:styleId="ComparativeNormal">
    <w:name w:val="Comparative Normal"/>
    <w:basedOn w:val="Normal"/>
    <w:uiPriority w:val="99"/>
    <w:rsid w:val="00887F65"/>
    <w:pPr>
      <w:keepLines/>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customStyle="1" w:styleId="ComparativeNormalHighlight">
    <w:name w:val="Comparative Normal Highlight"/>
    <w:basedOn w:val="ComparativeNormal"/>
    <w:uiPriority w:val="99"/>
    <w:rsid w:val="00887F65"/>
    <w:rPr>
      <w:b/>
      <w:bCs/>
    </w:rPr>
  </w:style>
  <w:style w:type="paragraph" w:customStyle="1" w:styleId="ComparativeNormalUnderlineHighlight">
    <w:name w:val="Comparative Normal Underline Highlight"/>
    <w:basedOn w:val="ComparativeNormal"/>
    <w:uiPriority w:val="99"/>
    <w:rsid w:val="00887F65"/>
    <w:rPr>
      <w:b/>
      <w:bCs/>
      <w:u w:val="single"/>
    </w:rPr>
  </w:style>
  <w:style w:type="paragraph" w:customStyle="1" w:styleId="ComparativeNormalUnderline">
    <w:name w:val="Comparative Normal Underline"/>
    <w:basedOn w:val="ComparativeNormal"/>
    <w:uiPriority w:val="99"/>
    <w:rsid w:val="00887F65"/>
    <w:rPr>
      <w:u w:val="single"/>
    </w:rPr>
  </w:style>
  <w:style w:type="paragraph" w:customStyle="1" w:styleId="ComparativeColumnHead">
    <w:name w:val="Comparative Column Head"/>
    <w:basedOn w:val="Normal"/>
    <w:uiPriority w:val="99"/>
    <w:rsid w:val="00887F65"/>
    <w:pPr>
      <w:keepLines/>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customStyle="1" w:styleId="ComparativeColumnHeadHighlight">
    <w:name w:val="Comparative Column Head Highlight"/>
    <w:basedOn w:val="ComparativeColumnHead"/>
    <w:uiPriority w:val="99"/>
    <w:rsid w:val="00887F65"/>
    <w:rPr>
      <w:b/>
      <w:bCs/>
    </w:rPr>
  </w:style>
  <w:style w:type="paragraph" w:customStyle="1" w:styleId="ComparativeColumnHeadUnderlineHighlight">
    <w:name w:val="Comparative Column Head Underline Highlight"/>
    <w:basedOn w:val="ComparativeColumnHead"/>
    <w:uiPriority w:val="99"/>
    <w:rsid w:val="00887F65"/>
    <w:rPr>
      <w:b/>
      <w:bCs/>
      <w:u w:val="single"/>
    </w:rPr>
  </w:style>
  <w:style w:type="paragraph" w:customStyle="1" w:styleId="ComparativeColumnHeadUnderline">
    <w:name w:val="Comparative Column Head Underline"/>
    <w:basedOn w:val="ComparativeColumnHead"/>
    <w:uiPriority w:val="99"/>
    <w:rsid w:val="00887F65"/>
    <w:rPr>
      <w:u w:val="single"/>
    </w:rPr>
  </w:style>
  <w:style w:type="paragraph" w:customStyle="1" w:styleId="ComparativeNumber">
    <w:name w:val="Comparative Number"/>
    <w:basedOn w:val="Normal"/>
    <w:uiPriority w:val="99"/>
    <w:rsid w:val="00887F65"/>
    <w:pPr>
      <w:keepLines/>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customStyle="1" w:styleId="ComparativeNumberHighlight">
    <w:name w:val="Comparative Number Highlight"/>
    <w:basedOn w:val="ComparativeNumber"/>
    <w:uiPriority w:val="99"/>
    <w:rsid w:val="00887F65"/>
    <w:rPr>
      <w:b/>
      <w:bCs/>
    </w:rPr>
  </w:style>
  <w:style w:type="paragraph" w:customStyle="1" w:styleId="ComparativeNumberUnderlineHighlight">
    <w:name w:val="Comparative Number Underline Highlight"/>
    <w:basedOn w:val="ComparativeNumber"/>
    <w:uiPriority w:val="99"/>
    <w:rsid w:val="00887F65"/>
    <w:rPr>
      <w:b/>
      <w:bCs/>
      <w:u w:val="single"/>
    </w:rPr>
  </w:style>
  <w:style w:type="paragraph" w:customStyle="1" w:styleId="ComparativeNumberUnderline">
    <w:name w:val="Comparative Number Underline"/>
    <w:basedOn w:val="ComparativeNumber"/>
    <w:uiPriority w:val="99"/>
    <w:rsid w:val="00887F65"/>
    <w:rPr>
      <w:u w:val="single"/>
    </w:rPr>
  </w:style>
  <w:style w:type="paragraph" w:customStyle="1" w:styleId="ComparativeNegativeNumber">
    <w:name w:val="Comparative Negative Number"/>
    <w:basedOn w:val="Normal"/>
    <w:uiPriority w:val="99"/>
    <w:rsid w:val="00887F65"/>
    <w:pPr>
      <w:keepLines/>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customStyle="1" w:styleId="ComparativeNegativeNumberHighlight">
    <w:name w:val="Comparative Negative Number Highlight"/>
    <w:basedOn w:val="ComparativeNegativeNumber"/>
    <w:uiPriority w:val="99"/>
    <w:rsid w:val="00887F65"/>
    <w:rPr>
      <w:b/>
      <w:bCs/>
    </w:rPr>
  </w:style>
  <w:style w:type="paragraph" w:customStyle="1" w:styleId="ComparativeNegativeNumberUnderlineHighlight">
    <w:name w:val="Comparative Negative Number Underline Highlight"/>
    <w:basedOn w:val="ComparativeNegativeNumber"/>
    <w:uiPriority w:val="99"/>
    <w:rsid w:val="00887F65"/>
    <w:rPr>
      <w:b/>
      <w:bCs/>
      <w:u w:val="single"/>
    </w:rPr>
  </w:style>
  <w:style w:type="paragraph" w:customStyle="1" w:styleId="ComparativeNegativeNumberUnderline">
    <w:name w:val="Comparative Negative Number Underline"/>
    <w:basedOn w:val="ComparativeNegativeNumber"/>
    <w:uiPriority w:val="99"/>
    <w:rsid w:val="00887F65"/>
    <w:rPr>
      <w:u w:val="single"/>
    </w:rPr>
  </w:style>
  <w:style w:type="paragraph" w:customStyle="1" w:styleId="FixedPitch">
    <w:name w:val="Fixed Pitch"/>
    <w:basedOn w:val="Normal"/>
    <w:uiPriority w:val="99"/>
    <w:rsid w:val="00887F65"/>
    <w:pPr>
      <w:keepLines/>
      <w:widowControl w:val="0"/>
      <w:autoSpaceDE w:val="0"/>
      <w:autoSpaceDN w:val="0"/>
      <w:adjustRightInd w:val="0"/>
      <w:spacing w:after="0" w:line="240" w:lineRule="auto"/>
    </w:pPr>
    <w:rPr>
      <w:rFonts w:ascii="Courier New" w:eastAsia="Times New Roman" w:hAnsi="Courier New" w:cs="Courier New"/>
      <w:sz w:val="20"/>
      <w:szCs w:val="20"/>
      <w:lang w:eastAsia="en-GB"/>
    </w:rPr>
  </w:style>
  <w:style w:type="paragraph" w:customStyle="1" w:styleId="FixedPitchHighlight">
    <w:name w:val="Fixed Pitch Highlight"/>
    <w:basedOn w:val="FixedPitch"/>
    <w:uiPriority w:val="99"/>
    <w:rsid w:val="00887F65"/>
    <w:rPr>
      <w:b/>
      <w:bCs/>
    </w:rPr>
  </w:style>
  <w:style w:type="paragraph" w:customStyle="1" w:styleId="FixedPitchUnderlineHighlight">
    <w:name w:val="Fixed Pitch Underline Highlight"/>
    <w:basedOn w:val="FixedPitch"/>
    <w:uiPriority w:val="99"/>
    <w:rsid w:val="00887F65"/>
    <w:rPr>
      <w:b/>
      <w:bCs/>
      <w:u w:val="single"/>
    </w:rPr>
  </w:style>
  <w:style w:type="paragraph" w:customStyle="1" w:styleId="FixedPitchUnderline">
    <w:name w:val="Fixed Pitch Underline"/>
    <w:basedOn w:val="FixedPitch"/>
    <w:uiPriority w:val="99"/>
    <w:rsid w:val="00887F65"/>
    <w:rPr>
      <w:u w:val="single"/>
    </w:rPr>
  </w:style>
  <w:style w:type="paragraph" w:customStyle="1" w:styleId="Bullet">
    <w:name w:val="Bullet"/>
    <w:basedOn w:val="Normal"/>
    <w:uiPriority w:val="99"/>
    <w:rsid w:val="00887F65"/>
    <w:pPr>
      <w:keepLines/>
      <w:widowControl w:val="0"/>
      <w:autoSpaceDE w:val="0"/>
      <w:autoSpaceDN w:val="0"/>
      <w:adjustRightInd w:val="0"/>
      <w:spacing w:after="0" w:line="240" w:lineRule="auto"/>
    </w:pPr>
    <w:rPr>
      <w:rFonts w:ascii="Arial" w:eastAsia="Times New Roman" w:hAnsi="Arial" w:cs="Arial"/>
      <w:sz w:val="20"/>
      <w:szCs w:val="20"/>
      <w:lang w:eastAsia="en-GB"/>
    </w:rPr>
  </w:style>
  <w:style w:type="paragraph" w:customStyle="1" w:styleId="BulletHighlight">
    <w:name w:val="Bullet Highlight"/>
    <w:basedOn w:val="Bullet"/>
    <w:uiPriority w:val="99"/>
    <w:rsid w:val="00887F65"/>
  </w:style>
  <w:style w:type="paragraph" w:customStyle="1" w:styleId="BulletUnderlineHighlight">
    <w:name w:val="Bullet Underline Highlight"/>
    <w:basedOn w:val="Bullet"/>
    <w:uiPriority w:val="99"/>
    <w:rsid w:val="00887F65"/>
  </w:style>
  <w:style w:type="paragraph" w:customStyle="1" w:styleId="BulletUnderline">
    <w:name w:val="Bullet Underline"/>
    <w:basedOn w:val="Bullet"/>
    <w:uiPriority w:val="99"/>
    <w:rsid w:val="00887F65"/>
  </w:style>
  <w:style w:type="paragraph" w:customStyle="1" w:styleId="Header1">
    <w:name w:val="Header1"/>
    <w:basedOn w:val="Normal"/>
    <w:next w:val="Header"/>
    <w:link w:val="HeaderChar"/>
    <w:uiPriority w:val="99"/>
    <w:unhideWhenUsed/>
    <w:rsid w:val="00887F65"/>
    <w:pPr>
      <w:keepLines/>
      <w:widowControl w:val="0"/>
      <w:tabs>
        <w:tab w:val="center" w:pos="4513"/>
        <w:tab w:val="right" w:pos="9026"/>
      </w:tabs>
      <w:autoSpaceDE w:val="0"/>
      <w:autoSpaceDN w:val="0"/>
      <w:adjustRightInd w:val="0"/>
      <w:spacing w:after="0" w:line="240" w:lineRule="auto"/>
    </w:pPr>
    <w:rPr>
      <w:rFonts w:ascii="Times New Roman" w:hAnsi="Times New Roman"/>
      <w:color w:val="000000"/>
      <w:sz w:val="20"/>
      <w:szCs w:val="20"/>
    </w:rPr>
  </w:style>
  <w:style w:type="character" w:customStyle="1" w:styleId="HeaderChar">
    <w:name w:val="Header Char"/>
    <w:basedOn w:val="DefaultParagraphFont"/>
    <w:link w:val="Header1"/>
    <w:uiPriority w:val="99"/>
    <w:rsid w:val="00887F65"/>
    <w:rPr>
      <w:rFonts w:ascii="Times New Roman" w:hAnsi="Times New Roman"/>
      <w:color w:val="000000"/>
      <w:sz w:val="20"/>
      <w:szCs w:val="20"/>
    </w:rPr>
  </w:style>
  <w:style w:type="paragraph" w:customStyle="1" w:styleId="Footer1">
    <w:name w:val="Footer1"/>
    <w:basedOn w:val="Normal"/>
    <w:next w:val="Footer"/>
    <w:link w:val="FooterChar"/>
    <w:uiPriority w:val="99"/>
    <w:unhideWhenUsed/>
    <w:rsid w:val="00887F65"/>
    <w:pPr>
      <w:keepLines/>
      <w:widowControl w:val="0"/>
      <w:tabs>
        <w:tab w:val="center" w:pos="4513"/>
        <w:tab w:val="right" w:pos="9026"/>
      </w:tabs>
      <w:autoSpaceDE w:val="0"/>
      <w:autoSpaceDN w:val="0"/>
      <w:adjustRightInd w:val="0"/>
      <w:spacing w:after="0" w:line="240" w:lineRule="auto"/>
    </w:pPr>
    <w:rPr>
      <w:rFonts w:ascii="Times New Roman" w:hAnsi="Times New Roman"/>
      <w:color w:val="000000"/>
      <w:sz w:val="20"/>
      <w:szCs w:val="20"/>
    </w:rPr>
  </w:style>
  <w:style w:type="character" w:customStyle="1" w:styleId="FooterChar">
    <w:name w:val="Footer Char"/>
    <w:basedOn w:val="DefaultParagraphFont"/>
    <w:link w:val="Footer1"/>
    <w:uiPriority w:val="99"/>
    <w:rsid w:val="00887F65"/>
    <w:rPr>
      <w:rFonts w:ascii="Times New Roman" w:hAnsi="Times New Roman"/>
      <w:color w:val="000000"/>
      <w:sz w:val="20"/>
      <w:szCs w:val="20"/>
    </w:rPr>
  </w:style>
  <w:style w:type="character" w:customStyle="1" w:styleId="Hyperlink1">
    <w:name w:val="Hyperlink1"/>
    <w:basedOn w:val="DefaultParagraphFont"/>
    <w:uiPriority w:val="99"/>
    <w:unhideWhenUsed/>
    <w:rsid w:val="00887F65"/>
    <w:rPr>
      <w:color w:val="0563C1"/>
      <w:u w:val="single"/>
    </w:rPr>
  </w:style>
  <w:style w:type="character" w:customStyle="1" w:styleId="UnresolvedMention1">
    <w:name w:val="Unresolved Mention1"/>
    <w:basedOn w:val="DefaultParagraphFont"/>
    <w:uiPriority w:val="99"/>
    <w:semiHidden/>
    <w:unhideWhenUsed/>
    <w:rsid w:val="00887F65"/>
    <w:rPr>
      <w:color w:val="808080"/>
      <w:shd w:val="clear" w:color="auto" w:fill="E6E6E6"/>
    </w:rPr>
  </w:style>
  <w:style w:type="table" w:customStyle="1" w:styleId="TableGrid1">
    <w:name w:val="Table Grid1"/>
    <w:basedOn w:val="TableNormal"/>
    <w:next w:val="TableGrid"/>
    <w:uiPriority w:val="39"/>
    <w:rsid w:val="00887F6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7Colorful-Accent31">
    <w:name w:val="Grid Table 7 Colorful - Accent 31"/>
    <w:basedOn w:val="TableNormal"/>
    <w:next w:val="GridTable7Colorful-Accent3"/>
    <w:uiPriority w:val="52"/>
    <w:rsid w:val="00887F65"/>
    <w:pPr>
      <w:spacing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paragraph" w:styleId="Header">
    <w:name w:val="header"/>
    <w:basedOn w:val="Normal"/>
    <w:link w:val="HeaderChar1"/>
    <w:uiPriority w:val="99"/>
    <w:semiHidden/>
    <w:unhideWhenUsed/>
    <w:rsid w:val="00887F65"/>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887F65"/>
  </w:style>
  <w:style w:type="paragraph" w:styleId="Footer">
    <w:name w:val="footer"/>
    <w:basedOn w:val="Normal"/>
    <w:link w:val="FooterChar1"/>
    <w:uiPriority w:val="99"/>
    <w:semiHidden/>
    <w:unhideWhenUsed/>
    <w:rsid w:val="00887F65"/>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887F65"/>
  </w:style>
  <w:style w:type="character" w:styleId="Hyperlink">
    <w:name w:val="Hyperlink"/>
    <w:basedOn w:val="DefaultParagraphFont"/>
    <w:uiPriority w:val="99"/>
    <w:unhideWhenUsed/>
    <w:rsid w:val="00887F65"/>
    <w:rPr>
      <w:color w:val="0563C1" w:themeColor="hyperlink"/>
      <w:u w:val="single"/>
    </w:rPr>
  </w:style>
  <w:style w:type="table" w:styleId="TableGrid">
    <w:name w:val="Table Grid"/>
    <w:basedOn w:val="TableNormal"/>
    <w:uiPriority w:val="39"/>
    <w:rsid w:val="00887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3">
    <w:name w:val="Grid Table 7 Colorful Accent 3"/>
    <w:basedOn w:val="TableNormal"/>
    <w:uiPriority w:val="52"/>
    <w:rsid w:val="00887F6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ar">
    <w:name w:val="ar"/>
    <w:basedOn w:val="Normal"/>
    <w:rsid w:val="001272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g">
    <w:name w:val="ag"/>
    <w:basedOn w:val="DefaultParagraphFont"/>
    <w:rsid w:val="0012720A"/>
  </w:style>
  <w:style w:type="character" w:customStyle="1" w:styleId="ac">
    <w:name w:val="ac"/>
    <w:basedOn w:val="DefaultParagraphFont"/>
    <w:rsid w:val="0012720A"/>
  </w:style>
  <w:style w:type="paragraph" w:customStyle="1" w:styleId="da">
    <w:name w:val="da"/>
    <w:basedOn w:val="Normal"/>
    <w:rsid w:val="001272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9"/>
    <w:rsid w:val="00BB0C19"/>
    <w:rPr>
      <w:rFonts w:ascii="Arial" w:eastAsia="Times New Roman" w:hAnsi="Arial" w:cs="Arial"/>
      <w:b/>
      <w:bCs/>
      <w:i/>
      <w:iCs/>
      <w:sz w:val="28"/>
      <w:szCs w:val="28"/>
      <w:lang w:eastAsia="de-DE"/>
    </w:rPr>
  </w:style>
  <w:style w:type="paragraph" w:customStyle="1" w:styleId="text-blockparagraph">
    <w:name w:val="text-block__paragraph"/>
    <w:basedOn w:val="Normal"/>
    <w:rsid w:val="00BB0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g">
    <w:name w:val="cg"/>
    <w:basedOn w:val="DefaultParagraphFont"/>
    <w:rsid w:val="00BB0C19"/>
  </w:style>
  <w:style w:type="character" w:styleId="UnresolvedMention">
    <w:name w:val="Unresolved Mention"/>
    <w:basedOn w:val="DefaultParagraphFont"/>
    <w:uiPriority w:val="99"/>
    <w:semiHidden/>
    <w:unhideWhenUsed/>
    <w:rsid w:val="008663CB"/>
    <w:rPr>
      <w:color w:val="605E5C"/>
      <w:shd w:val="clear" w:color="auto" w:fill="E1DFDD"/>
    </w:rPr>
  </w:style>
  <w:style w:type="paragraph" w:styleId="FootnoteText">
    <w:name w:val="footnote text"/>
    <w:basedOn w:val="Normal"/>
    <w:link w:val="FootnoteTextChar"/>
    <w:uiPriority w:val="99"/>
    <w:semiHidden/>
    <w:unhideWhenUsed/>
    <w:rsid w:val="00892A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2ACF"/>
    <w:rPr>
      <w:sz w:val="20"/>
      <w:szCs w:val="20"/>
    </w:rPr>
  </w:style>
  <w:style w:type="character" w:styleId="FootnoteReference">
    <w:name w:val="footnote reference"/>
    <w:basedOn w:val="DefaultParagraphFont"/>
    <w:uiPriority w:val="99"/>
    <w:semiHidden/>
    <w:unhideWhenUsed/>
    <w:rsid w:val="00892ACF"/>
    <w:rPr>
      <w:vertAlign w:val="superscript"/>
    </w:rPr>
  </w:style>
  <w:style w:type="character" w:customStyle="1" w:styleId="xag">
    <w:name w:val="x_ag"/>
    <w:basedOn w:val="DefaultParagraphFont"/>
    <w:rsid w:val="00956F6C"/>
  </w:style>
  <w:style w:type="paragraph" w:styleId="NormalWeb">
    <w:name w:val="Normal (Web)"/>
    <w:basedOn w:val="Normal"/>
    <w:uiPriority w:val="99"/>
    <w:unhideWhenUsed/>
    <w:rsid w:val="005768DB"/>
    <w:pPr>
      <w:spacing w:before="100" w:beforeAutospacing="1" w:after="100" w:afterAutospacing="1" w:line="240" w:lineRule="auto"/>
    </w:pPr>
    <w:rPr>
      <w:rFonts w:ascii="Calibri" w:hAnsi="Calibri" w:cs="Calibri"/>
      <w:lang w:eastAsia="en-GB"/>
    </w:rPr>
  </w:style>
  <w:style w:type="table" w:customStyle="1" w:styleId="TableGrid2">
    <w:name w:val="Table Grid2"/>
    <w:basedOn w:val="TableNormal"/>
    <w:next w:val="TableGrid"/>
    <w:uiPriority w:val="39"/>
    <w:rsid w:val="00C9191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C6AB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794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9739">
      <w:bodyDiv w:val="1"/>
      <w:marLeft w:val="0"/>
      <w:marRight w:val="0"/>
      <w:marTop w:val="0"/>
      <w:marBottom w:val="0"/>
      <w:divBdr>
        <w:top w:val="none" w:sz="0" w:space="0" w:color="auto"/>
        <w:left w:val="none" w:sz="0" w:space="0" w:color="auto"/>
        <w:bottom w:val="none" w:sz="0" w:space="0" w:color="auto"/>
        <w:right w:val="none" w:sz="0" w:space="0" w:color="auto"/>
      </w:divBdr>
    </w:div>
    <w:div w:id="1175533081">
      <w:bodyDiv w:val="1"/>
      <w:marLeft w:val="0"/>
      <w:marRight w:val="0"/>
      <w:marTop w:val="0"/>
      <w:marBottom w:val="0"/>
      <w:divBdr>
        <w:top w:val="none" w:sz="0" w:space="0" w:color="auto"/>
        <w:left w:val="none" w:sz="0" w:space="0" w:color="auto"/>
        <w:bottom w:val="none" w:sz="0" w:space="0" w:color="auto"/>
        <w:right w:val="none" w:sz="0" w:space="0" w:color="auto"/>
      </w:divBdr>
    </w:div>
    <w:div w:id="1839269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vestormeetcompany.com/time-finance-plc/register-investo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imefinance.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imefin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5A2B1E07C754082CED70DA9D9BBDD" ma:contentTypeVersion="84" ma:contentTypeDescription="Create a new document." ma:contentTypeScope="" ma:versionID="d0f013f86c6a75345f35d2d1208e32b9">
  <xsd:schema xmlns:xsd="http://www.w3.org/2001/XMLSchema" xmlns:xs="http://www.w3.org/2001/XMLSchema" xmlns:p="http://schemas.microsoft.com/office/2006/metadata/properties" xmlns:ns2="8a3bef0b-f76a-48ae-92bb-d8d75c32bb2d" xmlns:ns3="857e37f6-9ae4-43e4-bf0e-c46447a8ea6d" targetNamespace="http://schemas.microsoft.com/office/2006/metadata/properties" ma:root="true" ma:fieldsID="39bf44cc73ebf897ee9509d6979fd314" ns2:_="" ns3:_="">
    <xsd:import namespace="8a3bef0b-f76a-48ae-92bb-d8d75c32bb2d"/>
    <xsd:import namespace="857e37f6-9ae4-43e4-bf0e-c46447a8ea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bef0b-f76a-48ae-92bb-d8d75c32bb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15903f35-dfd5-497d-b9d7-74a557dcc5f4}" ma:internalName="TaxCatchAll" ma:showField="CatchAllData" ma:web="8a3bef0b-f76a-48ae-92bb-d8d75c32bb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7e37f6-9ae4-43e4-bf0e-c46447a8ea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49d5a01-f786-4455-8f10-65d5917b28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57e37f6-9ae4-43e4-bf0e-c46447a8ea6d">
      <Terms xmlns="http://schemas.microsoft.com/office/infopath/2007/PartnerControls"/>
    </lcf76f155ced4ddcb4097134ff3c332f>
    <TaxCatchAll xmlns="8a3bef0b-f76a-48ae-92bb-d8d75c32bb2d" xsi:nil="true"/>
    <_dlc_DocId xmlns="8a3bef0b-f76a-48ae-92bb-d8d75c32bb2d">67KJA7TTM7QD-2100362089-39952</_dlc_DocId>
    <_dlc_DocIdUrl xmlns="8a3bef0b-f76a-48ae-92bb-d8d75c32bb2d">
      <Url>https://academyleasing.sharepoint.com/sites/TF/_layouts/15/DocIdRedir.aspx?ID=67KJA7TTM7QD-2100362089-39952</Url>
      <Description>67KJA7TTM7QD-2100362089-39952</Description>
    </_dlc_DocIdUrl>
  </documentManagement>
</p:properties>
</file>

<file path=customXml/itemProps1.xml><?xml version="1.0" encoding="utf-8"?>
<ds:datastoreItem xmlns:ds="http://schemas.openxmlformats.org/officeDocument/2006/customXml" ds:itemID="{23C3BA85-1546-4CE1-B87A-C631656DFC91}">
  <ds:schemaRefs>
    <ds:schemaRef ds:uri="http://schemas.openxmlformats.org/officeDocument/2006/bibliography"/>
  </ds:schemaRefs>
</ds:datastoreItem>
</file>

<file path=customXml/itemProps2.xml><?xml version="1.0" encoding="utf-8"?>
<ds:datastoreItem xmlns:ds="http://schemas.openxmlformats.org/officeDocument/2006/customXml" ds:itemID="{3A768B9B-573D-434E-97BA-D26309BD5CE9}">
  <ds:schemaRefs>
    <ds:schemaRef ds:uri="http://schemas.microsoft.com/sharepoint/v3/contenttype/forms"/>
  </ds:schemaRefs>
</ds:datastoreItem>
</file>

<file path=customXml/itemProps3.xml><?xml version="1.0" encoding="utf-8"?>
<ds:datastoreItem xmlns:ds="http://schemas.openxmlformats.org/officeDocument/2006/customXml" ds:itemID="{908BEA2D-528C-4B89-B633-3740F0025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bef0b-f76a-48ae-92bb-d8d75c32bb2d"/>
    <ds:schemaRef ds:uri="857e37f6-9ae4-43e4-bf0e-c46447a8e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C1AF8-67AA-4561-941C-CDF134C61F01}">
  <ds:schemaRefs>
    <ds:schemaRef ds:uri="http://schemas.microsoft.com/sharepoint/events"/>
  </ds:schemaRefs>
</ds:datastoreItem>
</file>

<file path=customXml/itemProps5.xml><?xml version="1.0" encoding="utf-8"?>
<ds:datastoreItem xmlns:ds="http://schemas.openxmlformats.org/officeDocument/2006/customXml" ds:itemID="{1881DB23-03FE-4DBC-B317-B400D1E03AF9}">
  <ds:schemaRefs>
    <ds:schemaRef ds:uri="http://schemas.microsoft.com/office/2006/metadata/properties"/>
    <ds:schemaRef ds:uri="http://schemas.microsoft.com/office/infopath/2007/PartnerControls"/>
    <ds:schemaRef ds:uri="857e37f6-9ae4-43e4-bf0e-c46447a8ea6d"/>
    <ds:schemaRef ds:uri="8a3bef0b-f76a-48ae-92bb-d8d75c32bb2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7306</Words>
  <Characters>41648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dc:creator>
  <cp:keywords/>
  <dc:description/>
  <cp:lastModifiedBy>James Roberts</cp:lastModifiedBy>
  <cp:revision>113</cp:revision>
  <cp:lastPrinted>2019-09-20T11:48:00Z</cp:lastPrinted>
  <dcterms:created xsi:type="dcterms:W3CDTF">2023-09-21T08:19:00Z</dcterms:created>
  <dcterms:modified xsi:type="dcterms:W3CDTF">2023-09-25T09:21:00Z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0x010100C255A2B1E07C754082CED70DA9D9BBDD</vt:lpwstr>
  </property>
  <property fmtid="{D5CDD505-2E9C-101B-9397-08002B2CF9AE}" pid="3" name="MediaServiceImageTags">
    <vt:lpwstr/>
  </property>
  <property fmtid="{D5CDD505-2E9C-101B-9397-08002B2CF9AE}" pid="4" name="_dlc_DocIdItemGuid">
    <vt:lpwstr>29a0dd6c-c6e0-4bee-a9e5-f88ca050cf05</vt:lpwstr>
  </property>
</Properties>
</file>